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94" w:rsidRDefault="005C4094" w:rsidP="005C4094">
      <w:pPr>
        <w:pStyle w:val="Heading1"/>
        <w:rPr>
          <w:lang w:val="nb-NO"/>
        </w:rPr>
      </w:pPr>
      <w:bookmarkStart w:id="0" w:name="_Toc72492330"/>
      <w:bookmarkStart w:id="1" w:name="_Toc112827534"/>
      <w:r>
        <w:rPr>
          <w:lang w:val="nb-NO"/>
        </w:rPr>
        <w:t>Samlingstallen</w:t>
      </w:r>
      <w:r w:rsidR="0024116D">
        <w:rPr>
          <w:lang w:val="nb-NO"/>
        </w:rPr>
        <w:t>e</w:t>
      </w:r>
      <w:r>
        <w:rPr>
          <w:lang w:val="nb-NO"/>
        </w:rPr>
        <w:t xml:space="preserve"> 2021</w:t>
      </w:r>
      <w:r w:rsidRPr="00766CF6">
        <w:rPr>
          <w:lang w:val="nb-NO"/>
        </w:rPr>
        <w:t xml:space="preserve"> – en oppsummering</w:t>
      </w:r>
      <w:bookmarkEnd w:id="0"/>
      <w:bookmarkEnd w:id="1"/>
    </w:p>
    <w:p w:rsidR="003F3248" w:rsidRDefault="003F3248"/>
    <w:p w:rsidR="005C4094" w:rsidRDefault="005C4094"/>
    <w:p w:rsidR="005C4094" w:rsidRDefault="00285C0D">
      <w:bookmarkStart w:id="2" w:name="_GoBack"/>
      <w:r>
        <w:rPr>
          <w:noProof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.65pt;width:467.2pt;height:311.8pt;z-index:251677696;mso-position-horizontal-relative:text;mso-position-vertical-relative:text">
            <v:imagedata r:id="rId8" o:title="Økern nye magasin DSC1996"/>
            <w10:wrap type="topAndBottom"/>
          </v:shape>
        </w:pict>
      </w:r>
      <w:bookmarkEnd w:id="2"/>
    </w:p>
    <w:p w:rsidR="00285C0D" w:rsidRDefault="00285C0D"/>
    <w:p w:rsidR="00285C0D" w:rsidRDefault="00285C0D"/>
    <w:p w:rsidR="00285C0D" w:rsidRPr="00285C0D" w:rsidRDefault="00285C0D">
      <w:pPr>
        <w:rPr>
          <w:lang w:val="nb-NO"/>
        </w:rPr>
      </w:pPr>
      <w:r w:rsidRPr="00285C0D">
        <w:rPr>
          <w:lang w:val="nb-NO"/>
        </w:rPr>
        <w:t>Sammenfattet av Eirik Rindal, September 2022</w:t>
      </w:r>
    </w:p>
    <w:p w:rsidR="005C4094" w:rsidRPr="00285C0D" w:rsidRDefault="005C4094">
      <w:pPr>
        <w:rPr>
          <w:lang w:val="nb-NO"/>
        </w:rPr>
      </w:pPr>
      <w:r w:rsidRPr="00285C0D">
        <w:rPr>
          <w:lang w:val="nb-NO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-6842093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4094" w:rsidRDefault="005C4094">
          <w:pPr>
            <w:pStyle w:val="TOCHeading"/>
          </w:pPr>
          <w:r>
            <w:t>Innhold</w:t>
          </w:r>
        </w:p>
        <w:p w:rsidR="0024116D" w:rsidRDefault="005C409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827534" w:history="1">
            <w:r w:rsidR="0024116D" w:rsidRPr="0080471D">
              <w:rPr>
                <w:rStyle w:val="Hyperlink"/>
                <w:noProof/>
                <w:lang w:val="nb-NO"/>
              </w:rPr>
              <w:t>Samlingstallene 2021 – en oppsummering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_Toc112827534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1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24116D" w:rsidRDefault="006F1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827535" w:history="1">
            <w:r w:rsidR="0024116D" w:rsidRPr="0080471D">
              <w:rPr>
                <w:rStyle w:val="Hyperlink"/>
                <w:rFonts w:asciiTheme="majorHAnsi" w:eastAsiaTheme="majorEastAsia" w:hAnsiTheme="majorHAnsi" w:cstheme="majorBidi"/>
                <w:noProof/>
                <w:lang w:val="nb-NO"/>
              </w:rPr>
              <w:t>Innledning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_Toc112827535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3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24116D" w:rsidRDefault="006F1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827536" w:history="1">
            <w:r w:rsidR="0024116D" w:rsidRPr="0080471D">
              <w:rPr>
                <w:rStyle w:val="Hyperlink"/>
                <w:noProof/>
                <w:lang w:val="nb-NO"/>
              </w:rPr>
              <w:t>Hva sier tallene oss?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_Toc112827536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4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24116D" w:rsidRDefault="006F1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827537" w:history="1">
            <w:r w:rsidR="0024116D" w:rsidRPr="0080471D">
              <w:rPr>
                <w:rStyle w:val="Hyperlink"/>
                <w:noProof/>
                <w:lang w:val="nb-NO"/>
              </w:rPr>
              <w:t>Hovedtallene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_Toc112827537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4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24116D" w:rsidRDefault="006F1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827538" w:history="1">
            <w:r w:rsidR="0024116D" w:rsidRPr="0080471D">
              <w:rPr>
                <w:rStyle w:val="Hyperlink"/>
                <w:noProof/>
                <w:lang w:val="nb-NO"/>
              </w:rPr>
              <w:t>Tilvekst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_Toc112827538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5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24116D" w:rsidRDefault="006F1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827539" w:history="1">
            <w:r w:rsidR="0024116D" w:rsidRPr="0080471D">
              <w:rPr>
                <w:rStyle w:val="Hyperlink"/>
                <w:noProof/>
                <w:lang w:val="nb-NO"/>
              </w:rPr>
              <w:t>Digitalisering av samlingene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_Toc112827539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6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24116D" w:rsidRDefault="006F1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827540" w:history="1">
            <w:r w:rsidR="0024116D" w:rsidRPr="0080471D">
              <w:rPr>
                <w:rStyle w:val="Hyperlink"/>
                <w:noProof/>
                <w:lang w:val="nb-NO"/>
              </w:rPr>
              <w:t>Paleontologiske samlinger på nettportalen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_Toc112827540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8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24116D" w:rsidRDefault="006F1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827541" w:history="1">
            <w:r w:rsidR="0024116D" w:rsidRPr="0080471D">
              <w:rPr>
                <w:rStyle w:val="Hyperlink"/>
                <w:noProof/>
                <w:lang w:val="nb-NO"/>
              </w:rPr>
              <w:t>Digital REVITA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_Toc112827541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8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24116D" w:rsidRDefault="006F1A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2827542" w:history="1">
            <w:r w:rsidR="0024116D" w:rsidRPr="0080471D">
              <w:rPr>
                <w:rStyle w:val="Hyperlink"/>
                <w:noProof/>
                <w:lang w:val="nb-NO"/>
              </w:rPr>
              <w:t>Samling i fokus -  den nye E-DNA samlingen</w:t>
            </w:r>
            <w:r w:rsidR="0024116D">
              <w:rPr>
                <w:noProof/>
                <w:webHidden/>
              </w:rPr>
              <w:tab/>
            </w:r>
            <w:r w:rsidR="0024116D">
              <w:rPr>
                <w:noProof/>
                <w:webHidden/>
              </w:rPr>
              <w:fldChar w:fldCharType="begin"/>
            </w:r>
            <w:r w:rsidR="0024116D">
              <w:rPr>
                <w:noProof/>
                <w:webHidden/>
              </w:rPr>
              <w:instrText xml:space="preserve"> PAGEREF _Toc112827542 \h </w:instrText>
            </w:r>
            <w:r w:rsidR="0024116D">
              <w:rPr>
                <w:noProof/>
                <w:webHidden/>
              </w:rPr>
            </w:r>
            <w:r w:rsidR="0024116D">
              <w:rPr>
                <w:noProof/>
                <w:webHidden/>
              </w:rPr>
              <w:fldChar w:fldCharType="separate"/>
            </w:r>
            <w:r w:rsidR="0024116D">
              <w:rPr>
                <w:noProof/>
                <w:webHidden/>
              </w:rPr>
              <w:t>9</w:t>
            </w:r>
            <w:r w:rsidR="0024116D">
              <w:rPr>
                <w:noProof/>
                <w:webHidden/>
              </w:rPr>
              <w:fldChar w:fldCharType="end"/>
            </w:r>
          </w:hyperlink>
        </w:p>
        <w:p w:rsidR="005C4094" w:rsidRDefault="005C4094">
          <w:r>
            <w:rPr>
              <w:b/>
              <w:bCs/>
            </w:rPr>
            <w:fldChar w:fldCharType="end"/>
          </w:r>
        </w:p>
      </w:sdtContent>
    </w:sdt>
    <w:p w:rsidR="005C4094" w:rsidRDefault="005C4094"/>
    <w:p w:rsidR="005C4094" w:rsidRDefault="005C4094"/>
    <w:p w:rsidR="005C4094" w:rsidRDefault="005C4094">
      <w:r>
        <w:br w:type="page"/>
      </w:r>
    </w:p>
    <w:p w:rsidR="005C4094" w:rsidRPr="005C4094" w:rsidRDefault="005C4094" w:rsidP="005C4094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bookmarkStart w:id="3" w:name="_Toc72492332"/>
      <w:bookmarkStart w:id="4" w:name="_Toc112827535"/>
      <w:r w:rsidRPr="005C4094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lastRenderedPageBreak/>
        <w:t>Innledning</w:t>
      </w:r>
      <w:bookmarkEnd w:id="3"/>
      <w:bookmarkEnd w:id="4"/>
    </w:p>
    <w:p w:rsidR="005C4094" w:rsidRPr="005C4094" w:rsidRDefault="005C4094" w:rsidP="005C4094">
      <w:pPr>
        <w:rPr>
          <w:lang w:val="nb-NO"/>
        </w:rPr>
      </w:pPr>
      <w:r w:rsidRPr="005C4094">
        <w:rPr>
          <w:lang w:val="nb-NO"/>
        </w:rPr>
        <w:t>Dette dokumentet tar for seg objektsamlingene som er SFS og SKFs ansvar, de levende samlingene med frøsamlingen er ikke inkludert i. Dokumentet gir en kort oppsummering av samlingstallene for 202</w:t>
      </w:r>
      <w:r>
        <w:rPr>
          <w:lang w:val="nb-NO"/>
        </w:rPr>
        <w:t>1</w:t>
      </w:r>
      <w:r w:rsidRPr="005C4094">
        <w:rPr>
          <w:lang w:val="nb-NO"/>
        </w:rPr>
        <w:t xml:space="preserve"> med noen forklaringer. Samlingstallene kan som alltid lastes ned fra </w:t>
      </w:r>
      <w:hyperlink r:id="rId9" w:history="1">
        <w:r w:rsidRPr="005C4094">
          <w:rPr>
            <w:color w:val="0563C1" w:themeColor="hyperlink"/>
            <w:u w:val="single"/>
            <w:lang w:val="nb-NO"/>
          </w:rPr>
          <w:t>https://wiki.uio.no/nhm/skf/best-practices/index.php/Samlingstall</w:t>
        </w:r>
      </w:hyperlink>
      <w:r w:rsidRPr="005C4094">
        <w:rPr>
          <w:lang w:val="nb-NO"/>
        </w:rPr>
        <w:t xml:space="preserve"> for de som er opptatt av detaljer.</w:t>
      </w:r>
    </w:p>
    <w:p w:rsidR="005C4094" w:rsidRDefault="005C4094" w:rsidP="005C4094">
      <w:pPr>
        <w:rPr>
          <w:lang w:val="nb-NO"/>
        </w:rPr>
      </w:pPr>
      <w:r w:rsidRPr="005C4094">
        <w:rPr>
          <w:lang w:val="nb-NO"/>
        </w:rPr>
        <w:t>202</w:t>
      </w:r>
      <w:r>
        <w:rPr>
          <w:lang w:val="nb-NO"/>
        </w:rPr>
        <w:t>1</w:t>
      </w:r>
      <w:r w:rsidRPr="005C4094">
        <w:rPr>
          <w:lang w:val="nb-NO"/>
        </w:rPr>
        <w:t xml:space="preserve"> er </w:t>
      </w:r>
      <w:r>
        <w:rPr>
          <w:lang w:val="nb-NO"/>
        </w:rPr>
        <w:t xml:space="preserve">nok </w:t>
      </w:r>
      <w:r w:rsidRPr="005C4094">
        <w:rPr>
          <w:lang w:val="nb-NO"/>
        </w:rPr>
        <w:t xml:space="preserve">et år som har vært preget av Korona og hel eller delvis nedstenging av samfunnet. Dette har påvirket samlingsaktiviteten på mange vis, kanskje spesielt innen lån. </w:t>
      </w:r>
      <w:r>
        <w:rPr>
          <w:lang w:val="nb-NO"/>
        </w:rPr>
        <w:t xml:space="preserve">Det har vært flere personer fysisk tilstede på museet i 2021 enn det var i 2020 og dermed også vært utført mer </w:t>
      </w:r>
      <w:r w:rsidR="0048561A">
        <w:rPr>
          <w:lang w:val="nb-NO"/>
        </w:rPr>
        <w:t>"</w:t>
      </w:r>
      <w:proofErr w:type="spellStart"/>
      <w:r w:rsidR="0048561A">
        <w:rPr>
          <w:lang w:val="nb-NO"/>
        </w:rPr>
        <w:t>hands-</w:t>
      </w:r>
      <w:r>
        <w:rPr>
          <w:lang w:val="nb-NO"/>
        </w:rPr>
        <w:t>on</w:t>
      </w:r>
      <w:proofErr w:type="spellEnd"/>
      <w:r w:rsidR="0048561A">
        <w:rPr>
          <w:lang w:val="nb-NO"/>
        </w:rPr>
        <w:t>"</w:t>
      </w:r>
      <w:r>
        <w:rPr>
          <w:lang w:val="nb-NO"/>
        </w:rPr>
        <w:t xml:space="preserve"> arbeid med samlingene i 2021 enn det ble utført i 2020.</w:t>
      </w:r>
    </w:p>
    <w:p w:rsidR="005C4094" w:rsidRDefault="005C4094" w:rsidP="005C4094">
      <w:pPr>
        <w:rPr>
          <w:lang w:val="nb-NO"/>
        </w:rPr>
      </w:pPr>
      <w:r>
        <w:rPr>
          <w:lang w:val="nb-NO"/>
        </w:rPr>
        <w:t xml:space="preserve">Det har vært store utfordringer knyttet til våtsamlingene og brannsikkerhet. Museet har i samarbeid med EA og Oslo brannvesen jobbet systematisk med å rette opp i </w:t>
      </w:r>
      <w:r w:rsidR="0024116D">
        <w:rPr>
          <w:lang w:val="nb-NO"/>
        </w:rPr>
        <w:t>manglene</w:t>
      </w:r>
      <w:r>
        <w:rPr>
          <w:lang w:val="nb-NO"/>
        </w:rPr>
        <w:t>, et arbeid som også vil fortsette inn i 2022. Dette har medført begrensinger på tilgangen til våtmagasinene og utfordringer for brukerne.</w:t>
      </w:r>
    </w:p>
    <w:p w:rsidR="005C4094" w:rsidRDefault="005C4094" w:rsidP="005C4094">
      <w:pPr>
        <w:rPr>
          <w:lang w:val="nb-NO"/>
        </w:rPr>
      </w:pPr>
      <w:r>
        <w:rPr>
          <w:lang w:val="nb-NO"/>
        </w:rPr>
        <w:t>Det ble i 2021 ansatt to nye faste samlingsteknikere, en for våtsamlinger og en for karplante/ DNA-banken.</w:t>
      </w:r>
    </w:p>
    <w:p w:rsidR="00757566" w:rsidRDefault="00757566" w:rsidP="005C4094">
      <w:pPr>
        <w:rPr>
          <w:lang w:val="nb-NO"/>
        </w:rPr>
      </w:pPr>
    </w:p>
    <w:p w:rsidR="00757566" w:rsidRDefault="00757566" w:rsidP="005C4094">
      <w:pPr>
        <w:rPr>
          <w:lang w:val="nb-NO"/>
        </w:rPr>
      </w:pPr>
    </w:p>
    <w:p w:rsidR="00757566" w:rsidRDefault="00757566" w:rsidP="005C4094">
      <w:pPr>
        <w:rPr>
          <w:lang w:val="nb-NO"/>
        </w:rPr>
      </w:pPr>
    </w:p>
    <w:p w:rsidR="005C4094" w:rsidRDefault="005C4094" w:rsidP="005C4094">
      <w:pPr>
        <w:rPr>
          <w:lang w:val="nb-NO"/>
        </w:rPr>
      </w:pPr>
    </w:p>
    <w:p w:rsidR="005C4094" w:rsidRDefault="005C4094" w:rsidP="005C4094">
      <w:pPr>
        <w:rPr>
          <w:lang w:val="nb-NO"/>
        </w:rPr>
      </w:pPr>
    </w:p>
    <w:p w:rsidR="005C4094" w:rsidRDefault="005C4094">
      <w:pPr>
        <w:rPr>
          <w:lang w:val="nb-NO"/>
        </w:rPr>
      </w:pPr>
      <w:r>
        <w:rPr>
          <w:lang w:val="nb-NO"/>
        </w:rPr>
        <w:br w:type="page"/>
      </w:r>
    </w:p>
    <w:p w:rsidR="005C4094" w:rsidRDefault="00757566" w:rsidP="00757566">
      <w:pPr>
        <w:pStyle w:val="Heading2"/>
        <w:rPr>
          <w:lang w:val="nb-NO"/>
        </w:rPr>
      </w:pPr>
      <w:bookmarkStart w:id="5" w:name="_Toc112827536"/>
      <w:r>
        <w:rPr>
          <w:lang w:val="nb-NO"/>
        </w:rPr>
        <w:lastRenderedPageBreak/>
        <w:t>Hva sier tallene oss?</w:t>
      </w:r>
      <w:bookmarkEnd w:id="5"/>
    </w:p>
    <w:p w:rsidR="00757566" w:rsidRDefault="00757566" w:rsidP="00757566">
      <w:pPr>
        <w:pStyle w:val="ListParagraph"/>
        <w:numPr>
          <w:ilvl w:val="0"/>
          <w:numId w:val="1"/>
        </w:numPr>
        <w:rPr>
          <w:lang w:val="nb-NO"/>
        </w:rPr>
      </w:pPr>
      <w:r w:rsidRPr="00757566">
        <w:rPr>
          <w:lang w:val="nb-NO"/>
        </w:rPr>
        <w:t xml:space="preserve">Korona effekten kan fremdeles sees i </w:t>
      </w:r>
      <w:r>
        <w:rPr>
          <w:lang w:val="nb-NO"/>
        </w:rPr>
        <w:t>reduksjon</w:t>
      </w:r>
      <w:r w:rsidR="00CC200A">
        <w:rPr>
          <w:lang w:val="nb-NO"/>
        </w:rPr>
        <w:t xml:space="preserve"> i </w:t>
      </w:r>
      <w:r w:rsidRPr="00757566">
        <w:rPr>
          <w:lang w:val="nb-NO"/>
        </w:rPr>
        <w:t>utlån</w:t>
      </w:r>
    </w:p>
    <w:p w:rsidR="00757566" w:rsidRDefault="0024116D" w:rsidP="00757566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Det er en s</w:t>
      </w:r>
      <w:r w:rsidR="00CC200A">
        <w:rPr>
          <w:lang w:val="nb-NO"/>
        </w:rPr>
        <w:t>terk økning i antallet dataposter delt via internett</w:t>
      </w:r>
    </w:p>
    <w:p w:rsidR="00757566" w:rsidRPr="006F3CA2" w:rsidRDefault="00CC200A" w:rsidP="00757566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Økningen i antall digitaliserte poster er tilbake på normalen med ca</w:t>
      </w:r>
      <w:r w:rsidR="0048561A">
        <w:rPr>
          <w:lang w:val="nb-NO"/>
        </w:rPr>
        <w:t>.</w:t>
      </w:r>
      <w:r>
        <w:rPr>
          <w:lang w:val="nb-NO"/>
        </w:rPr>
        <w:t xml:space="preserve"> </w:t>
      </w:r>
      <w:r w:rsidR="00360258">
        <w:rPr>
          <w:lang w:val="nb-NO"/>
        </w:rPr>
        <w:t>ett</w:t>
      </w:r>
      <w:r>
        <w:rPr>
          <w:lang w:val="nb-NO"/>
        </w:rPr>
        <w:t xml:space="preserve"> prosentpoeng per år</w:t>
      </w:r>
    </w:p>
    <w:p w:rsidR="001600BF" w:rsidRDefault="001600BF" w:rsidP="00757566">
      <w:pPr>
        <w:rPr>
          <w:lang w:val="nb-NO"/>
        </w:rPr>
      </w:pPr>
    </w:p>
    <w:p w:rsidR="001600BF" w:rsidRDefault="001600BF" w:rsidP="006F3CA2">
      <w:pPr>
        <w:pStyle w:val="Heading2"/>
        <w:rPr>
          <w:lang w:val="nb-NO"/>
        </w:rPr>
      </w:pPr>
      <w:bookmarkStart w:id="6" w:name="_Toc112827537"/>
      <w:r>
        <w:rPr>
          <w:lang w:val="nb-NO"/>
        </w:rPr>
        <w:t>Hovedtallene</w:t>
      </w:r>
      <w:bookmarkEnd w:id="6"/>
    </w:p>
    <w:p w:rsidR="002515DE" w:rsidRDefault="002515DE" w:rsidP="001600BF">
      <w:pPr>
        <w:rPr>
          <w:lang w:val="nb-NO"/>
        </w:rPr>
      </w:pPr>
      <w:r>
        <w:rPr>
          <w:lang w:val="nb-NO"/>
        </w:rPr>
        <w:t xml:space="preserve">Samlingene viser en stabil utvikling uten de store utslagene vi så for 2020. </w:t>
      </w:r>
      <w:r w:rsidR="000E0F14">
        <w:rPr>
          <w:lang w:val="nb-NO"/>
        </w:rPr>
        <w:t xml:space="preserve">Det er et fall i antall objekter på 30 000, som skyldes justeringer i anslaget for samlingsstørrelsen på </w:t>
      </w:r>
      <w:proofErr w:type="spellStart"/>
      <w:r w:rsidR="000E0F14">
        <w:rPr>
          <w:lang w:val="nb-NO"/>
        </w:rPr>
        <w:t>utenlandssamlingen</w:t>
      </w:r>
      <w:proofErr w:type="spellEnd"/>
      <w:r w:rsidR="000E0F14">
        <w:rPr>
          <w:lang w:val="nb-NO"/>
        </w:rPr>
        <w:t xml:space="preserve"> på sopp.</w:t>
      </w:r>
    </w:p>
    <w:p w:rsidR="002515DE" w:rsidRDefault="002515DE" w:rsidP="001600BF">
      <w:pPr>
        <w:rPr>
          <w:lang w:val="nb-NO"/>
        </w:rPr>
      </w:pPr>
    </w:p>
    <w:p w:rsidR="001600BF" w:rsidRDefault="001600BF" w:rsidP="001600BF">
      <w:pPr>
        <w:rPr>
          <w:lang w:val="nb-NO"/>
        </w:rPr>
      </w:pPr>
    </w:p>
    <w:tbl>
      <w:tblPr>
        <w:tblStyle w:val="GridTable5Dark1"/>
        <w:tblW w:w="10114" w:type="dxa"/>
        <w:tblLook w:val="04A0" w:firstRow="1" w:lastRow="0" w:firstColumn="1" w:lastColumn="0" w:noHBand="0" w:noVBand="1"/>
      </w:tblPr>
      <w:tblGrid>
        <w:gridCol w:w="2329"/>
        <w:gridCol w:w="1306"/>
        <w:gridCol w:w="1344"/>
        <w:gridCol w:w="1344"/>
        <w:gridCol w:w="1344"/>
        <w:gridCol w:w="1241"/>
        <w:gridCol w:w="1206"/>
      </w:tblGrid>
      <w:tr w:rsidR="001600BF" w:rsidRPr="001600BF" w:rsidTr="00251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shd w:val="clear" w:color="auto" w:fill="auto"/>
          </w:tcPr>
          <w:p w:rsidR="001600BF" w:rsidRPr="001600BF" w:rsidRDefault="001600BF" w:rsidP="001600BF"/>
        </w:tc>
        <w:tc>
          <w:tcPr>
            <w:tcW w:w="1306" w:type="dxa"/>
          </w:tcPr>
          <w:p w:rsidR="001600BF" w:rsidRPr="001600BF" w:rsidRDefault="001600BF" w:rsidP="00160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2016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2017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2018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2019</w:t>
            </w:r>
          </w:p>
        </w:tc>
        <w:tc>
          <w:tcPr>
            <w:tcW w:w="1241" w:type="dxa"/>
          </w:tcPr>
          <w:p w:rsidR="001600BF" w:rsidRPr="001600BF" w:rsidRDefault="001600BF" w:rsidP="00160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2020</w:t>
            </w:r>
          </w:p>
        </w:tc>
        <w:tc>
          <w:tcPr>
            <w:tcW w:w="1206" w:type="dxa"/>
          </w:tcPr>
          <w:p w:rsidR="001600BF" w:rsidRPr="001600BF" w:rsidRDefault="00460C15" w:rsidP="001600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</w:tr>
      <w:tr w:rsidR="001600BF" w:rsidRPr="001600BF" w:rsidTr="00251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1600BF" w:rsidRPr="001600BF" w:rsidRDefault="001600BF" w:rsidP="001600BF">
            <w:r w:rsidRPr="001600BF">
              <w:t>Antall objekter</w:t>
            </w:r>
          </w:p>
        </w:tc>
        <w:tc>
          <w:tcPr>
            <w:tcW w:w="1306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 xml:space="preserve"> 5 501 632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 xml:space="preserve"> 5 635 883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 xml:space="preserve"> 5 662 896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 xml:space="preserve"> 5 721 401</w:t>
            </w:r>
          </w:p>
        </w:tc>
        <w:tc>
          <w:tcPr>
            <w:tcW w:w="1241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5 755 473</w:t>
            </w:r>
          </w:p>
        </w:tc>
        <w:tc>
          <w:tcPr>
            <w:tcW w:w="1206" w:type="dxa"/>
          </w:tcPr>
          <w:p w:rsidR="001600BF" w:rsidRPr="001600BF" w:rsidRDefault="00460C15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C15">
              <w:t>5 736 396</w:t>
            </w:r>
          </w:p>
        </w:tc>
      </w:tr>
      <w:tr w:rsidR="001600BF" w:rsidRPr="001600BF" w:rsidTr="002515DE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1600BF" w:rsidRPr="001600BF" w:rsidRDefault="001600BF" w:rsidP="001600BF">
            <w:r>
              <w:t>D</w:t>
            </w:r>
            <w:r w:rsidRPr="001600BF">
              <w:t>igitaliserte objekter</w:t>
            </w:r>
          </w:p>
        </w:tc>
        <w:tc>
          <w:tcPr>
            <w:tcW w:w="1306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 xml:space="preserve"> 2 407 951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 xml:space="preserve"> 2 511 570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 xml:space="preserve"> 2 577 111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 xml:space="preserve"> 2 645 326</w:t>
            </w:r>
          </w:p>
        </w:tc>
        <w:tc>
          <w:tcPr>
            <w:tcW w:w="1241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2 990 403</w:t>
            </w:r>
          </w:p>
        </w:tc>
        <w:tc>
          <w:tcPr>
            <w:tcW w:w="1206" w:type="dxa"/>
          </w:tcPr>
          <w:p w:rsidR="001600BF" w:rsidRPr="001600BF" w:rsidRDefault="00460C15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C15">
              <w:t>3 061 311</w:t>
            </w:r>
          </w:p>
        </w:tc>
      </w:tr>
      <w:tr w:rsidR="001600BF" w:rsidRPr="001600BF" w:rsidTr="00251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1600BF" w:rsidRPr="001600BF" w:rsidRDefault="001600BF" w:rsidP="001600BF">
            <w:r>
              <w:t>F</w:t>
            </w:r>
            <w:r w:rsidRPr="001600BF">
              <w:t>otograferte objekter</w:t>
            </w:r>
          </w:p>
        </w:tc>
        <w:tc>
          <w:tcPr>
            <w:tcW w:w="1306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824 641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843 604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1 081 321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00BF">
              <w:rPr>
                <w:rFonts w:ascii="Calibri" w:hAnsi="Calibri"/>
                <w:color w:val="000000"/>
              </w:rPr>
              <w:t xml:space="preserve">1 254 334 </w:t>
            </w:r>
          </w:p>
        </w:tc>
        <w:tc>
          <w:tcPr>
            <w:tcW w:w="1241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00BF">
              <w:rPr>
                <w:rFonts w:ascii="Calibri" w:hAnsi="Calibri"/>
                <w:color w:val="000000"/>
              </w:rPr>
              <w:t>1 264 370</w:t>
            </w:r>
          </w:p>
        </w:tc>
        <w:tc>
          <w:tcPr>
            <w:tcW w:w="1206" w:type="dxa"/>
          </w:tcPr>
          <w:p w:rsidR="001600BF" w:rsidRPr="001600BF" w:rsidRDefault="00460C15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60C15">
              <w:rPr>
                <w:rFonts w:ascii="Calibri" w:hAnsi="Calibri"/>
                <w:color w:val="000000"/>
              </w:rPr>
              <w:t>1 274 637</w:t>
            </w:r>
          </w:p>
        </w:tc>
      </w:tr>
      <w:tr w:rsidR="001600BF" w:rsidRPr="001600BF" w:rsidTr="002515DE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1600BF" w:rsidRPr="001600BF" w:rsidRDefault="001600BF" w:rsidP="001600BF">
            <w:r>
              <w:t>O</w:t>
            </w:r>
            <w:r w:rsidRPr="001600BF">
              <w:t>bjekter på web</w:t>
            </w:r>
          </w:p>
        </w:tc>
        <w:tc>
          <w:tcPr>
            <w:tcW w:w="1306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 xml:space="preserve"> 1 167 682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 xml:space="preserve"> 1 229 885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 xml:space="preserve"> 1 246 396 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 xml:space="preserve"> 1 340 769 </w:t>
            </w:r>
          </w:p>
        </w:tc>
        <w:tc>
          <w:tcPr>
            <w:tcW w:w="1241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2 099 096</w:t>
            </w:r>
          </w:p>
        </w:tc>
        <w:tc>
          <w:tcPr>
            <w:tcW w:w="1206" w:type="dxa"/>
          </w:tcPr>
          <w:p w:rsidR="001600BF" w:rsidRPr="001600BF" w:rsidRDefault="00460C15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0C15">
              <w:t>2 704 565</w:t>
            </w:r>
          </w:p>
        </w:tc>
      </w:tr>
      <w:tr w:rsidR="001600BF" w:rsidRPr="001600BF" w:rsidTr="00251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1600BF" w:rsidRPr="001600BF" w:rsidRDefault="001600BF" w:rsidP="001600BF">
            <w:r w:rsidRPr="001600BF">
              <w:t>Tilvekst</w:t>
            </w:r>
          </w:p>
        </w:tc>
        <w:tc>
          <w:tcPr>
            <w:tcW w:w="1306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62 257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43 165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37 855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00BF">
              <w:rPr>
                <w:rFonts w:ascii="Calibri" w:hAnsi="Calibri"/>
                <w:color w:val="000000"/>
              </w:rPr>
              <w:t>133 764</w:t>
            </w:r>
          </w:p>
        </w:tc>
        <w:tc>
          <w:tcPr>
            <w:tcW w:w="1241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00BF">
              <w:rPr>
                <w:rFonts w:ascii="Calibri" w:hAnsi="Calibri"/>
                <w:color w:val="000000"/>
              </w:rPr>
              <w:t>44 626</w:t>
            </w:r>
          </w:p>
        </w:tc>
        <w:tc>
          <w:tcPr>
            <w:tcW w:w="1206" w:type="dxa"/>
          </w:tcPr>
          <w:p w:rsidR="001600BF" w:rsidRPr="001600BF" w:rsidRDefault="00460C15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60C15">
              <w:rPr>
                <w:rFonts w:ascii="Calibri" w:hAnsi="Calibri"/>
                <w:color w:val="000000"/>
              </w:rPr>
              <w:t>33 504</w:t>
            </w:r>
          </w:p>
        </w:tc>
      </w:tr>
      <w:tr w:rsidR="001600BF" w:rsidRPr="001600BF" w:rsidTr="002515D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1600BF" w:rsidRPr="001600BF" w:rsidRDefault="001600BF" w:rsidP="001600BF">
            <w:r w:rsidRPr="001600BF">
              <w:t>Utlån fra samlingene</w:t>
            </w:r>
          </w:p>
        </w:tc>
        <w:tc>
          <w:tcPr>
            <w:tcW w:w="1306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3 130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1 923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0BF">
              <w:t>7 207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00BF">
              <w:rPr>
                <w:rFonts w:ascii="Calibri" w:hAnsi="Calibri"/>
                <w:color w:val="000000"/>
              </w:rPr>
              <w:t xml:space="preserve">2 358 </w:t>
            </w:r>
          </w:p>
        </w:tc>
        <w:tc>
          <w:tcPr>
            <w:tcW w:w="1241" w:type="dxa"/>
          </w:tcPr>
          <w:p w:rsidR="001600BF" w:rsidRPr="001600BF" w:rsidRDefault="001600BF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00BF">
              <w:rPr>
                <w:rFonts w:ascii="Calibri" w:hAnsi="Calibri"/>
                <w:color w:val="000000"/>
              </w:rPr>
              <w:t>972</w:t>
            </w:r>
          </w:p>
        </w:tc>
        <w:tc>
          <w:tcPr>
            <w:tcW w:w="1206" w:type="dxa"/>
          </w:tcPr>
          <w:p w:rsidR="001600BF" w:rsidRPr="001600BF" w:rsidRDefault="00460C15" w:rsidP="001600B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460C15">
              <w:rPr>
                <w:rFonts w:ascii="Calibri" w:hAnsi="Calibri"/>
                <w:color w:val="000000"/>
              </w:rPr>
              <w:t>404</w:t>
            </w:r>
          </w:p>
        </w:tc>
      </w:tr>
      <w:tr w:rsidR="001600BF" w:rsidRPr="001600BF" w:rsidTr="00251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1600BF" w:rsidRPr="001600BF" w:rsidRDefault="001600BF" w:rsidP="001600BF">
            <w:r w:rsidRPr="001600BF">
              <w:t>Digitaliseringsprosent</w:t>
            </w:r>
          </w:p>
        </w:tc>
        <w:tc>
          <w:tcPr>
            <w:tcW w:w="1306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43,8%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44,6%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0BF">
              <w:t>45,5%</w:t>
            </w:r>
          </w:p>
        </w:tc>
        <w:tc>
          <w:tcPr>
            <w:tcW w:w="1344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00BF">
              <w:rPr>
                <w:rFonts w:ascii="Calibri" w:hAnsi="Calibri"/>
                <w:color w:val="000000"/>
              </w:rPr>
              <w:t>46,2%</w:t>
            </w:r>
          </w:p>
        </w:tc>
        <w:tc>
          <w:tcPr>
            <w:tcW w:w="1241" w:type="dxa"/>
          </w:tcPr>
          <w:p w:rsidR="001600BF" w:rsidRPr="001600BF" w:rsidRDefault="001600BF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600BF">
              <w:rPr>
                <w:rFonts w:ascii="Calibri" w:hAnsi="Calibri"/>
                <w:color w:val="000000"/>
              </w:rPr>
              <w:t>52,0%</w:t>
            </w:r>
          </w:p>
        </w:tc>
        <w:tc>
          <w:tcPr>
            <w:tcW w:w="1206" w:type="dxa"/>
          </w:tcPr>
          <w:p w:rsidR="001600BF" w:rsidRPr="001600BF" w:rsidRDefault="00460C15" w:rsidP="001600B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53,4%</w:t>
            </w:r>
          </w:p>
        </w:tc>
      </w:tr>
    </w:tbl>
    <w:p w:rsidR="001600BF" w:rsidRPr="001600BF" w:rsidRDefault="001600BF" w:rsidP="001600BF">
      <w:pPr>
        <w:rPr>
          <w:lang w:val="nb-NO"/>
        </w:rPr>
      </w:pPr>
    </w:p>
    <w:p w:rsidR="001600BF" w:rsidRDefault="001600BF" w:rsidP="00757566">
      <w:pPr>
        <w:rPr>
          <w:lang w:val="nb-NO"/>
        </w:rPr>
      </w:pPr>
    </w:p>
    <w:p w:rsidR="001600BF" w:rsidRDefault="001600BF" w:rsidP="00757566">
      <w:pPr>
        <w:rPr>
          <w:lang w:val="nb-NO"/>
        </w:rPr>
      </w:pPr>
    </w:p>
    <w:p w:rsidR="001600BF" w:rsidRDefault="001600BF" w:rsidP="00757566">
      <w:pPr>
        <w:rPr>
          <w:lang w:val="nb-NO"/>
        </w:rPr>
      </w:pPr>
    </w:p>
    <w:p w:rsidR="001A10A7" w:rsidRDefault="001A10A7">
      <w:pPr>
        <w:rPr>
          <w:lang w:val="nb-NO"/>
        </w:rPr>
      </w:pPr>
      <w:r>
        <w:rPr>
          <w:lang w:val="nb-NO"/>
        </w:rPr>
        <w:br w:type="page"/>
      </w:r>
    </w:p>
    <w:p w:rsidR="001A10A7" w:rsidRDefault="001A10A7" w:rsidP="00617054">
      <w:pPr>
        <w:pStyle w:val="Heading2"/>
        <w:rPr>
          <w:lang w:val="nb-NO"/>
        </w:rPr>
      </w:pPr>
      <w:bookmarkStart w:id="7" w:name="_Toc112827538"/>
      <w:r>
        <w:rPr>
          <w:lang w:val="nb-NO"/>
        </w:rPr>
        <w:lastRenderedPageBreak/>
        <w:t>Tilvekst</w:t>
      </w:r>
      <w:bookmarkEnd w:id="7"/>
    </w:p>
    <w:p w:rsidR="001A10A7" w:rsidRDefault="0048561A">
      <w:pPr>
        <w:rPr>
          <w:lang w:val="nb-NO"/>
        </w:rPr>
      </w:pPr>
      <w:r w:rsidRPr="00120EF0">
        <w:rPr>
          <w:noProof/>
          <w:lang w:val="nb-NO" w:eastAsia="nb-NO"/>
        </w:rPr>
        <w:drawing>
          <wp:anchor distT="0" distB="0" distL="114300" distR="114300" simplePos="0" relativeHeight="251673600" behindDoc="0" locked="0" layoutInCell="1" allowOverlap="1" wp14:anchorId="69305520" wp14:editId="5D5021BF">
            <wp:simplePos x="0" y="0"/>
            <wp:positionH relativeFrom="column">
              <wp:posOffset>-14631</wp:posOffset>
            </wp:positionH>
            <wp:positionV relativeFrom="paragraph">
              <wp:posOffset>748817</wp:posOffset>
            </wp:positionV>
            <wp:extent cx="4959350" cy="31057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258">
        <w:rPr>
          <w:lang w:val="nb-NO"/>
        </w:rPr>
        <w:t>Tilveksten fortsetter å falle</w:t>
      </w:r>
      <w:r w:rsidR="006F3CA2">
        <w:rPr>
          <w:lang w:val="nb-NO"/>
        </w:rPr>
        <w:t xml:space="preserve"> og endte på</w:t>
      </w:r>
      <w:r w:rsidR="00360258">
        <w:rPr>
          <w:lang w:val="nb-NO"/>
        </w:rPr>
        <w:t xml:space="preserve"> 33 500 objekter </w:t>
      </w:r>
      <w:r w:rsidR="006F3CA2">
        <w:rPr>
          <w:lang w:val="nb-NO"/>
        </w:rPr>
        <w:t>i 2021</w:t>
      </w:r>
      <w:r w:rsidR="00360258">
        <w:rPr>
          <w:lang w:val="nb-NO"/>
        </w:rPr>
        <w:t xml:space="preserve">. Dette skyldes reduksjon i innsamlingsaktiviteten i zoologi som ser ut </w:t>
      </w:r>
      <w:r w:rsidR="0024116D">
        <w:rPr>
          <w:lang w:val="nb-NO"/>
        </w:rPr>
        <w:t xml:space="preserve">til </w:t>
      </w:r>
      <w:r w:rsidR="00360258">
        <w:rPr>
          <w:lang w:val="nb-NO"/>
        </w:rPr>
        <w:t>å ha lagt seg på et betydelig lavere nivå enn før korona</w:t>
      </w:r>
      <w:r w:rsidR="00D76EE9">
        <w:rPr>
          <w:lang w:val="nb-NO"/>
        </w:rPr>
        <w:t>epidemien</w:t>
      </w:r>
      <w:r w:rsidR="00360258">
        <w:rPr>
          <w:lang w:val="nb-NO"/>
        </w:rPr>
        <w:t>.</w:t>
      </w:r>
    </w:p>
    <w:p w:rsidR="006F3CA2" w:rsidRDefault="006F3CA2">
      <w:pPr>
        <w:rPr>
          <w:lang w:val="nb-NO"/>
        </w:rPr>
      </w:pPr>
    </w:p>
    <w:p w:rsidR="006F3CA2" w:rsidRDefault="0048561A">
      <w:pPr>
        <w:rPr>
          <w:lang w:val="nb-NO"/>
        </w:rPr>
      </w:pPr>
      <w:r w:rsidRPr="00BF123D"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 wp14:anchorId="1652736D" wp14:editId="7422D3D1">
            <wp:simplePos x="0" y="0"/>
            <wp:positionH relativeFrom="column">
              <wp:posOffset>-29235</wp:posOffset>
            </wp:positionH>
            <wp:positionV relativeFrom="paragraph">
              <wp:posOffset>352349</wp:posOffset>
            </wp:positionV>
            <wp:extent cx="4973955" cy="31083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EF0">
        <w:rPr>
          <w:lang w:val="nb-NO"/>
        </w:rPr>
        <w:t>Det er de biologiske samlingene som står for nesten all tilvekst til NHMs samlinger.</w:t>
      </w:r>
    </w:p>
    <w:p w:rsidR="0048561A" w:rsidRPr="0048561A" w:rsidRDefault="000843D4">
      <w:pPr>
        <w:rPr>
          <w:lang w:val="nb-NO"/>
        </w:rPr>
      </w:pPr>
      <w:r>
        <w:rPr>
          <w:lang w:val="nb-NO"/>
        </w:rPr>
        <w:t>I år som i fjor er det karplanter, sopp og vevssamlingen</w:t>
      </w:r>
      <w:r w:rsidR="0048561A">
        <w:rPr>
          <w:lang w:val="nb-NO"/>
        </w:rPr>
        <w:t xml:space="preserve"> som har den største tilveksten.</w:t>
      </w:r>
    </w:p>
    <w:p w:rsidR="00E94C72" w:rsidRDefault="00E94C72" w:rsidP="00E94C72">
      <w:pPr>
        <w:pStyle w:val="Heading2"/>
        <w:rPr>
          <w:lang w:val="nb-NO"/>
        </w:rPr>
      </w:pPr>
      <w:bookmarkStart w:id="8" w:name="_Toc112827539"/>
      <w:r>
        <w:rPr>
          <w:lang w:val="nb-NO"/>
        </w:rPr>
        <w:t>Digitalisering av samlingene</w:t>
      </w:r>
      <w:bookmarkEnd w:id="8"/>
    </w:p>
    <w:p w:rsidR="00726117" w:rsidRPr="00726117" w:rsidRDefault="00F4344C" w:rsidP="00726117">
      <w:pPr>
        <w:rPr>
          <w:lang w:val="nb-NO"/>
        </w:rPr>
      </w:pPr>
      <w:r w:rsidRPr="00C220E0">
        <w:rPr>
          <w:noProof/>
          <w:lang w:val="nb-NO" w:eastAsia="nb-NO"/>
        </w:rPr>
        <w:drawing>
          <wp:anchor distT="0" distB="0" distL="114300" distR="114300" simplePos="0" relativeHeight="251667456" behindDoc="0" locked="0" layoutInCell="1" allowOverlap="1" wp14:anchorId="6999E1B2" wp14:editId="7D25AF48">
            <wp:simplePos x="0" y="0"/>
            <wp:positionH relativeFrom="column">
              <wp:posOffset>-25400</wp:posOffset>
            </wp:positionH>
            <wp:positionV relativeFrom="paragraph">
              <wp:posOffset>292100</wp:posOffset>
            </wp:positionV>
            <wp:extent cx="4762500" cy="24015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C72" w:rsidRDefault="00E94C72" w:rsidP="00BF123D">
      <w:pPr>
        <w:rPr>
          <w:lang w:val="nb-NO"/>
        </w:rPr>
      </w:pPr>
    </w:p>
    <w:p w:rsidR="00F4344C" w:rsidRDefault="007073A6" w:rsidP="00BF123D">
      <w:pPr>
        <w:rPr>
          <w:lang w:val="nb-NO"/>
        </w:rPr>
      </w:pPr>
      <w:r>
        <w:rPr>
          <w:lang w:val="nb-NO"/>
        </w:rPr>
        <w:t>Digitaliseringsgraden går sakte men sikkert oppover. Utfordringen ligger blant annet i å holde tritt med tilveksten samtidig som man klarer å digitalisere allerede eksisterende materiale.</w:t>
      </w:r>
    </w:p>
    <w:p w:rsidR="00E94C72" w:rsidRDefault="00F4344C" w:rsidP="00BF123D">
      <w:pPr>
        <w:rPr>
          <w:lang w:val="nb-NO"/>
        </w:rPr>
      </w:pPr>
      <w:r w:rsidRPr="00726117">
        <w:rPr>
          <w:noProof/>
          <w:lang w:val="nb-NO" w:eastAsia="nb-NO"/>
        </w:rPr>
        <w:lastRenderedPageBreak/>
        <w:drawing>
          <wp:anchor distT="0" distB="0" distL="114300" distR="114300" simplePos="0" relativeHeight="251665408" behindDoc="0" locked="0" layoutInCell="1" allowOverlap="1" wp14:anchorId="7A1F7CFD" wp14:editId="35EE30CB">
            <wp:simplePos x="0" y="0"/>
            <wp:positionH relativeFrom="column">
              <wp:posOffset>-88900</wp:posOffset>
            </wp:positionH>
            <wp:positionV relativeFrom="paragraph">
              <wp:posOffset>246380</wp:posOffset>
            </wp:positionV>
            <wp:extent cx="5181600" cy="378968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117" w:rsidRDefault="00726117">
      <w:pPr>
        <w:rPr>
          <w:lang w:val="nb-NO"/>
        </w:rPr>
      </w:pPr>
    </w:p>
    <w:p w:rsidR="00726117" w:rsidRDefault="007073A6" w:rsidP="00BF123D">
      <w:pPr>
        <w:rPr>
          <w:lang w:val="nb-NO"/>
        </w:rPr>
      </w:pPr>
      <w:r>
        <w:rPr>
          <w:lang w:val="nb-NO"/>
        </w:rPr>
        <w:t xml:space="preserve">Innen botanikk (inkl. sopp) og geologi </w:t>
      </w:r>
      <w:r w:rsidR="00F34224">
        <w:rPr>
          <w:lang w:val="nb-NO"/>
        </w:rPr>
        <w:t>nærmer vi oss en full digital oversikt over samlingene, men det gjenstår mye arbeid med paleontologi og særlig zoologi.</w:t>
      </w:r>
      <w:r w:rsidR="004B4439">
        <w:rPr>
          <w:lang w:val="nb-NO"/>
        </w:rPr>
        <w:t xml:space="preserve"> Vi ser at andelen digitaliserte objekter i zoologi faller fra 2019 til 2020 som skyldes at samlingens størrelse øker mer enn det som ble digitalisert det året.</w:t>
      </w:r>
    </w:p>
    <w:p w:rsidR="00F34224" w:rsidRDefault="00F34224" w:rsidP="00BF123D">
      <w:pPr>
        <w:rPr>
          <w:lang w:val="nb-NO"/>
        </w:rPr>
      </w:pPr>
    </w:p>
    <w:p w:rsidR="00F34224" w:rsidRDefault="00F34224" w:rsidP="00BF123D">
      <w:pPr>
        <w:rPr>
          <w:lang w:val="nb-NO"/>
        </w:rPr>
      </w:pPr>
      <w:r w:rsidRPr="00F34224">
        <w:rPr>
          <w:noProof/>
          <w:lang w:val="nb-NO" w:eastAsia="nb-NO"/>
        </w:rPr>
        <w:drawing>
          <wp:anchor distT="0" distB="0" distL="114300" distR="114300" simplePos="0" relativeHeight="251669504" behindDoc="0" locked="0" layoutInCell="1" allowOverlap="1" wp14:anchorId="30CD0A27" wp14:editId="365FEC37">
            <wp:simplePos x="0" y="0"/>
            <wp:positionH relativeFrom="column">
              <wp:posOffset>0</wp:posOffset>
            </wp:positionH>
            <wp:positionV relativeFrom="paragraph">
              <wp:posOffset>26848</wp:posOffset>
            </wp:positionV>
            <wp:extent cx="5943600" cy="347154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224" w:rsidRDefault="00F34224" w:rsidP="00BF123D">
      <w:pPr>
        <w:rPr>
          <w:lang w:val="nb-NO"/>
        </w:rPr>
      </w:pPr>
      <w:r>
        <w:rPr>
          <w:lang w:val="nb-NO"/>
        </w:rPr>
        <w:t>Ser vi nærmere på hver delsamling ser vi at det er hos insektene at den store restansen er. Her er jobben formidabel og det er ca</w:t>
      </w:r>
      <w:r w:rsidR="002C2241">
        <w:rPr>
          <w:lang w:val="nb-NO"/>
        </w:rPr>
        <w:t>.</w:t>
      </w:r>
      <w:r>
        <w:rPr>
          <w:lang w:val="nb-NO"/>
        </w:rPr>
        <w:t xml:space="preserve"> like mange </w:t>
      </w:r>
      <w:proofErr w:type="spellStart"/>
      <w:r>
        <w:rPr>
          <w:lang w:val="nb-NO"/>
        </w:rPr>
        <w:t>udigitaliserte</w:t>
      </w:r>
      <w:proofErr w:type="spellEnd"/>
      <w:r>
        <w:rPr>
          <w:lang w:val="nb-NO"/>
        </w:rPr>
        <w:t xml:space="preserve"> insekter som det totale antall objekter vi har digitalisert ved NHM.</w:t>
      </w:r>
    </w:p>
    <w:p w:rsidR="0048561A" w:rsidRDefault="0048561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r>
        <w:rPr>
          <w:lang w:val="nb-NO"/>
        </w:rPr>
        <w:br w:type="page"/>
      </w:r>
    </w:p>
    <w:p w:rsidR="00757566" w:rsidRDefault="00757566" w:rsidP="00757566">
      <w:pPr>
        <w:pStyle w:val="Heading2"/>
        <w:rPr>
          <w:lang w:val="nb-NO"/>
        </w:rPr>
      </w:pPr>
      <w:bookmarkStart w:id="9" w:name="_Toc112827540"/>
      <w:r>
        <w:rPr>
          <w:lang w:val="nb-NO"/>
        </w:rPr>
        <w:lastRenderedPageBreak/>
        <w:t>Pal</w:t>
      </w:r>
      <w:r w:rsidR="003F176D">
        <w:rPr>
          <w:lang w:val="nb-NO"/>
        </w:rPr>
        <w:t>eontologiske samlinger</w:t>
      </w:r>
      <w:r>
        <w:rPr>
          <w:lang w:val="nb-NO"/>
        </w:rPr>
        <w:t xml:space="preserve"> på </w:t>
      </w:r>
      <w:r w:rsidR="003F176D">
        <w:rPr>
          <w:lang w:val="nb-NO"/>
        </w:rPr>
        <w:t>nettp</w:t>
      </w:r>
      <w:r w:rsidR="00167DDE">
        <w:rPr>
          <w:lang w:val="nb-NO"/>
        </w:rPr>
        <w:t>ortalen</w:t>
      </w:r>
      <w:bookmarkEnd w:id="9"/>
    </w:p>
    <w:p w:rsidR="00757566" w:rsidRDefault="00167DDE" w:rsidP="00757566">
      <w:pPr>
        <w:rPr>
          <w:lang w:val="nb-NO"/>
        </w:rPr>
      </w:pPr>
      <w:r>
        <w:rPr>
          <w:lang w:val="nb-NO"/>
        </w:rPr>
        <w:t>En betydelig milepæl ble nådd i 2020 da de paleontologiske samlingsdataene ble delt i museet nettportaler. Med dette er det kun noe</w:t>
      </w:r>
      <w:r w:rsidR="0024116D">
        <w:rPr>
          <w:lang w:val="nb-NO"/>
        </w:rPr>
        <w:t>n</w:t>
      </w:r>
      <w:r>
        <w:rPr>
          <w:lang w:val="nb-NO"/>
        </w:rPr>
        <w:t xml:space="preserve"> evertebratgrupper som ikke er delt via Nettportalene av NHMs samlinger. </w:t>
      </w:r>
      <w:r w:rsidR="007A6923">
        <w:rPr>
          <w:lang w:val="nb-NO"/>
        </w:rPr>
        <w:t>D</w:t>
      </w:r>
      <w:r w:rsidR="00D61621">
        <w:rPr>
          <w:lang w:val="nb-NO"/>
        </w:rPr>
        <w:t>et er i dag 201 500 poster med fossiler delt via NHMs nettportal:</w:t>
      </w:r>
    </w:p>
    <w:p w:rsidR="00D61621" w:rsidRDefault="0048561A" w:rsidP="00757566">
      <w:pPr>
        <w:rPr>
          <w:lang w:val="nb-NO"/>
        </w:rPr>
      </w:pPr>
      <w:r w:rsidRPr="0048561A">
        <w:rPr>
          <w:noProof/>
          <w:lang w:val="nb-NO" w:eastAsia="nb-NO"/>
        </w:rPr>
        <w:drawing>
          <wp:anchor distT="0" distB="0" distL="114300" distR="114300" simplePos="0" relativeHeight="251676672" behindDoc="0" locked="0" layoutInCell="1" allowOverlap="1" wp14:anchorId="1BBBB73D" wp14:editId="288B3ECE">
            <wp:simplePos x="0" y="0"/>
            <wp:positionH relativeFrom="column">
              <wp:posOffset>-102</wp:posOffset>
            </wp:positionH>
            <wp:positionV relativeFrom="paragraph">
              <wp:posOffset>374828</wp:posOffset>
            </wp:positionV>
            <wp:extent cx="5252085" cy="2343150"/>
            <wp:effectExtent l="0" t="0" r="571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 w:rsidR="00D61621" w:rsidRPr="00B049F6">
          <w:rPr>
            <w:rStyle w:val="Hyperlink"/>
            <w:lang w:val="nb-NO"/>
          </w:rPr>
          <w:t>https://samlingsportal.nhm.uio.no/museum/nhm/</w:t>
        </w:r>
      </w:hyperlink>
    </w:p>
    <w:p w:rsidR="00D61621" w:rsidRDefault="00D61621" w:rsidP="00757566">
      <w:pPr>
        <w:rPr>
          <w:lang w:val="nb-NO"/>
        </w:rPr>
      </w:pPr>
    </w:p>
    <w:p w:rsidR="006F3CA2" w:rsidRDefault="006F3CA2" w:rsidP="00757566">
      <w:pPr>
        <w:rPr>
          <w:lang w:val="nb-NO"/>
        </w:rPr>
      </w:pPr>
    </w:p>
    <w:p w:rsidR="006F3CA2" w:rsidRDefault="006F3CA2" w:rsidP="00051F72">
      <w:pPr>
        <w:pStyle w:val="Heading2"/>
        <w:rPr>
          <w:lang w:val="nb-NO"/>
        </w:rPr>
      </w:pPr>
    </w:p>
    <w:p w:rsidR="00757566" w:rsidRDefault="00051F72" w:rsidP="00051F72">
      <w:pPr>
        <w:pStyle w:val="Heading2"/>
        <w:rPr>
          <w:lang w:val="nb-NO"/>
        </w:rPr>
      </w:pPr>
      <w:bookmarkStart w:id="10" w:name="_Toc112827541"/>
      <w:r>
        <w:rPr>
          <w:lang w:val="nb-NO"/>
        </w:rPr>
        <w:t>Digital REVITA</w:t>
      </w:r>
      <w:bookmarkEnd w:id="10"/>
    </w:p>
    <w:p w:rsidR="00757566" w:rsidRDefault="00DB53E9" w:rsidP="00757566">
      <w:pPr>
        <w:rPr>
          <w:lang w:val="nb-NO"/>
        </w:rPr>
      </w:pPr>
      <w:r>
        <w:rPr>
          <w:lang w:val="nb-NO"/>
        </w:rPr>
        <w:t xml:space="preserve">Museet ble tildelt REVITA midler for nye 5 år i </w:t>
      </w:r>
      <w:r w:rsidRPr="005E13EF">
        <w:rPr>
          <w:lang w:val="nb-NO"/>
        </w:rPr>
        <w:t>2019</w:t>
      </w:r>
      <w:r>
        <w:rPr>
          <w:lang w:val="nb-NO"/>
        </w:rPr>
        <w:t xml:space="preserve"> under </w:t>
      </w:r>
      <w:r w:rsidR="00E94C72">
        <w:rPr>
          <w:lang w:val="nb-NO"/>
        </w:rPr>
        <w:t>forutsetningen</w:t>
      </w:r>
      <w:r>
        <w:rPr>
          <w:lang w:val="nb-NO"/>
        </w:rPr>
        <w:t xml:space="preserve"> at det skulle </w:t>
      </w:r>
      <w:r w:rsidR="00E94C72">
        <w:rPr>
          <w:lang w:val="nb-NO"/>
        </w:rPr>
        <w:t>satses</w:t>
      </w:r>
      <w:r>
        <w:rPr>
          <w:lang w:val="nb-NO"/>
        </w:rPr>
        <w:t xml:space="preserve"> på digitalisering av samlingene. Dette </w:t>
      </w:r>
      <w:r w:rsidR="00E94C72">
        <w:rPr>
          <w:lang w:val="nb-NO"/>
        </w:rPr>
        <w:t>innebærer</w:t>
      </w:r>
      <w:r>
        <w:rPr>
          <w:lang w:val="nb-NO"/>
        </w:rPr>
        <w:t xml:space="preserve"> </w:t>
      </w:r>
      <w:r w:rsidR="0024116D">
        <w:rPr>
          <w:lang w:val="nb-NO"/>
        </w:rPr>
        <w:t xml:space="preserve">å </w:t>
      </w:r>
      <w:r w:rsidR="00E94C72">
        <w:rPr>
          <w:lang w:val="nb-NO"/>
        </w:rPr>
        <w:t>fullføre</w:t>
      </w:r>
      <w:r>
        <w:rPr>
          <w:lang w:val="nb-NO"/>
        </w:rPr>
        <w:t xml:space="preserve"> påbegynte massedigitaliseringsprosjekter og </w:t>
      </w:r>
      <w:r w:rsidR="00C64333">
        <w:rPr>
          <w:lang w:val="nb-NO"/>
        </w:rPr>
        <w:t>oppstart av digitalisering av nye grupper. Det ble i 2020 startet et arbeid av Emil Bang for å digitalisere den polare samling av fossiler.</w:t>
      </w:r>
    </w:p>
    <w:p w:rsidR="0048561A" w:rsidRDefault="0048561A" w:rsidP="00757566">
      <w:pPr>
        <w:rPr>
          <w:lang w:val="nb-NO"/>
        </w:rPr>
      </w:pPr>
    </w:p>
    <w:p w:rsidR="0048561A" w:rsidRDefault="0048561A" w:rsidP="00757566">
      <w:pPr>
        <w:rPr>
          <w:lang w:val="nb-NO"/>
        </w:rPr>
      </w:pPr>
      <w:r>
        <w:rPr>
          <w:lang w:val="nb-NO"/>
        </w:rPr>
        <w:t>Les mer om den nye REVITA-planen her:</w:t>
      </w:r>
    </w:p>
    <w:p w:rsidR="0048561A" w:rsidRDefault="006F1A02" w:rsidP="00757566">
      <w:pPr>
        <w:rPr>
          <w:lang w:val="nb-NO"/>
        </w:rPr>
      </w:pPr>
      <w:hyperlink r:id="rId17" w:history="1">
        <w:r w:rsidR="0048561A" w:rsidRPr="0050646F">
          <w:rPr>
            <w:rStyle w:val="Hyperlink"/>
            <w:lang w:val="nb-NO"/>
          </w:rPr>
          <w:t>https://www.uio.no/for-ansatte/enhetssider/nhm/prosjekter/strategi-2017/revita-plan-2021-for-teams.docx</w:t>
        </w:r>
      </w:hyperlink>
    </w:p>
    <w:p w:rsidR="0048561A" w:rsidRDefault="0048561A" w:rsidP="00757566">
      <w:pPr>
        <w:rPr>
          <w:lang w:val="nb-NO"/>
        </w:rPr>
      </w:pPr>
    </w:p>
    <w:p w:rsidR="0048561A" w:rsidRDefault="0048561A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r>
        <w:rPr>
          <w:lang w:val="nb-NO"/>
        </w:rPr>
        <w:br w:type="page"/>
      </w:r>
    </w:p>
    <w:p w:rsidR="00AF639E" w:rsidRDefault="00AF639E" w:rsidP="00AF639E">
      <w:pPr>
        <w:pStyle w:val="Heading2"/>
        <w:rPr>
          <w:lang w:val="nb-NO"/>
        </w:rPr>
      </w:pPr>
      <w:bookmarkStart w:id="11" w:name="_Toc112827542"/>
      <w:r>
        <w:rPr>
          <w:lang w:val="nb-NO"/>
        </w:rPr>
        <w:lastRenderedPageBreak/>
        <w:t>Samling i fokus -  den nye E-DNA samlingen</w:t>
      </w:r>
      <w:bookmarkEnd w:id="11"/>
    </w:p>
    <w:p w:rsidR="00787937" w:rsidRPr="00787937" w:rsidRDefault="00787937" w:rsidP="00787937">
      <w:pPr>
        <w:rPr>
          <w:lang w:val="nb-NO"/>
        </w:rPr>
      </w:pPr>
    </w:p>
    <w:p w:rsidR="008141A7" w:rsidRDefault="008141A7" w:rsidP="00AF639E">
      <w:pPr>
        <w:rPr>
          <w:lang w:val="nb-NO"/>
        </w:rPr>
      </w:pPr>
      <w:r>
        <w:rPr>
          <w:lang w:val="nb-NO"/>
        </w:rPr>
        <w:t xml:space="preserve">NHM skal få en ny samling inn i sine rekker: E-DNA samlingen. E-DNA står for </w:t>
      </w:r>
      <w:proofErr w:type="spellStart"/>
      <w:r>
        <w:rPr>
          <w:lang w:val="nb-NO"/>
        </w:rPr>
        <w:t>enviro</w:t>
      </w:r>
      <w:r w:rsidR="0024116D">
        <w:rPr>
          <w:lang w:val="nb-NO"/>
        </w:rPr>
        <w:t>n</w:t>
      </w:r>
      <w:r>
        <w:rPr>
          <w:lang w:val="nb-NO"/>
        </w:rPr>
        <w:t>mental</w:t>
      </w:r>
      <w:proofErr w:type="spellEnd"/>
      <w:r>
        <w:rPr>
          <w:lang w:val="nb-NO"/>
        </w:rPr>
        <w:t>-</w:t>
      </w:r>
      <w:r w:rsidR="00787937">
        <w:rPr>
          <w:lang w:val="nb-NO"/>
        </w:rPr>
        <w:t>DNA og betyr noe slik</w:t>
      </w:r>
      <w:r w:rsidR="0024116D">
        <w:rPr>
          <w:lang w:val="nb-NO"/>
        </w:rPr>
        <w:t>t</w:t>
      </w:r>
      <w:r w:rsidR="00787937">
        <w:rPr>
          <w:lang w:val="nb-NO"/>
        </w:rPr>
        <w:t xml:space="preserve"> som miljø</w:t>
      </w:r>
      <w:r>
        <w:rPr>
          <w:lang w:val="nb-NO"/>
        </w:rPr>
        <w:t>prøve / DNA samlingen. Samlingen vil være nært knyttet opp mot DNA-banken og hadde ikke vært mulig å star</w:t>
      </w:r>
      <w:r w:rsidR="00103894">
        <w:rPr>
          <w:lang w:val="nb-NO"/>
        </w:rPr>
        <w:t>t</w:t>
      </w:r>
      <w:r>
        <w:rPr>
          <w:lang w:val="nb-NO"/>
        </w:rPr>
        <w:t xml:space="preserve">e uten denne. </w:t>
      </w:r>
    </w:p>
    <w:p w:rsidR="00664CE7" w:rsidRDefault="006F1A02" w:rsidP="00AF639E">
      <w:pPr>
        <w:rPr>
          <w:lang w:val="nb-NO"/>
        </w:rPr>
      </w:pPr>
      <w:r>
        <w:rPr>
          <w:noProof/>
          <w:lang w:val="nb-NO" w:eastAsia="nb-NO"/>
        </w:rPr>
        <w:pict>
          <v:shape id="_x0000_s1026" type="#_x0000_t75" style="position:absolute;margin-left:0;margin-top:36.15pt;width:361.6pt;height:381.75pt;z-index:251674624;mso-position-horizontal-relative:text;mso-position-vertical-relative:text">
            <v:imagedata r:id="rId18" o:title="Micha Dunthorn DSC_4242  svhv "/>
            <w10:wrap type="topAndBottom"/>
          </v:shape>
        </w:pict>
      </w:r>
      <w:r w:rsidR="00715AEB">
        <w:rPr>
          <w:lang w:val="nb-NO"/>
        </w:rPr>
        <w:t>Samlingen vil ledes av Micah Dunthorn</w:t>
      </w:r>
      <w:r w:rsidR="0024116D">
        <w:rPr>
          <w:lang w:val="nb-NO"/>
        </w:rPr>
        <w:t>,</w:t>
      </w:r>
      <w:r w:rsidR="009878FF">
        <w:rPr>
          <w:lang w:val="nb-NO"/>
        </w:rPr>
        <w:t xml:space="preserve"> </w:t>
      </w:r>
      <w:r w:rsidR="0024116D">
        <w:rPr>
          <w:lang w:val="nb-NO"/>
        </w:rPr>
        <w:t>e</w:t>
      </w:r>
      <w:r w:rsidR="009878FF">
        <w:rPr>
          <w:lang w:val="nb-NO"/>
        </w:rPr>
        <w:t xml:space="preserve">n blid amerikaner som kom til NHM </w:t>
      </w:r>
      <w:r w:rsidR="00664CE7">
        <w:rPr>
          <w:lang w:val="nb-NO"/>
        </w:rPr>
        <w:t>etter å ha jobbet noe</w:t>
      </w:r>
      <w:r w:rsidR="00787937">
        <w:rPr>
          <w:lang w:val="nb-NO"/>
        </w:rPr>
        <w:t>n</w:t>
      </w:r>
      <w:r w:rsidR="00664CE7">
        <w:rPr>
          <w:lang w:val="nb-NO"/>
        </w:rPr>
        <w:t xml:space="preserve"> år på Universitet i Kaiserslautern.</w:t>
      </w:r>
      <w:r w:rsidR="009878FF">
        <w:rPr>
          <w:lang w:val="nb-NO"/>
        </w:rPr>
        <w:t xml:space="preserve"> </w:t>
      </w:r>
    </w:p>
    <w:p w:rsidR="00664CE7" w:rsidRDefault="00664CE7" w:rsidP="00AF639E">
      <w:pPr>
        <w:rPr>
          <w:lang w:val="nb-NO"/>
        </w:rPr>
      </w:pPr>
    </w:p>
    <w:p w:rsidR="00487F33" w:rsidRDefault="009878FF" w:rsidP="00AF639E">
      <w:pPr>
        <w:rPr>
          <w:lang w:val="nb-NO"/>
        </w:rPr>
      </w:pPr>
      <w:r>
        <w:rPr>
          <w:lang w:val="nb-NO"/>
        </w:rPr>
        <w:t xml:space="preserve">Samlingen vil bygges opp av referansemateriale fra forskning på NHM, Blindern og ved andre institusjoner. Samlingens objekter vil </w:t>
      </w:r>
      <w:r w:rsidR="0024116D">
        <w:rPr>
          <w:lang w:val="nb-NO"/>
        </w:rPr>
        <w:t xml:space="preserve">være </w:t>
      </w:r>
      <w:r>
        <w:rPr>
          <w:lang w:val="nb-NO"/>
        </w:rPr>
        <w:t xml:space="preserve">DNA </w:t>
      </w:r>
      <w:r w:rsidR="0024116D">
        <w:rPr>
          <w:lang w:val="nb-NO"/>
        </w:rPr>
        <w:t>ekstrakter</w:t>
      </w:r>
      <w:r>
        <w:rPr>
          <w:lang w:val="nb-NO"/>
        </w:rPr>
        <w:t xml:space="preserve">, der DNA fra mange individer er </w:t>
      </w:r>
      <w:r w:rsidR="0024116D">
        <w:rPr>
          <w:lang w:val="nb-NO"/>
        </w:rPr>
        <w:t>b</w:t>
      </w:r>
      <w:r>
        <w:rPr>
          <w:lang w:val="nb-NO"/>
        </w:rPr>
        <w:t>landet samme</w:t>
      </w:r>
      <w:r w:rsidR="0024116D">
        <w:rPr>
          <w:lang w:val="nb-NO"/>
        </w:rPr>
        <w:t>n</w:t>
      </w:r>
      <w:r>
        <w:rPr>
          <w:lang w:val="nb-NO"/>
        </w:rPr>
        <w:t xml:space="preserve"> i en prøve. </w:t>
      </w:r>
      <w:r w:rsidR="00487F33">
        <w:rPr>
          <w:lang w:val="nb-NO"/>
        </w:rPr>
        <w:t xml:space="preserve">Innsamling av prøver kan skje ved </w:t>
      </w:r>
      <w:proofErr w:type="spellStart"/>
      <w:r w:rsidR="00487F33">
        <w:rPr>
          <w:lang w:val="nb-NO"/>
        </w:rPr>
        <w:t>håvtrekk</w:t>
      </w:r>
      <w:proofErr w:type="spellEnd"/>
      <w:r w:rsidR="00487F33">
        <w:rPr>
          <w:lang w:val="nb-NO"/>
        </w:rPr>
        <w:t xml:space="preserve"> i ferskvann der man </w:t>
      </w:r>
      <w:r w:rsidR="00B5267F">
        <w:rPr>
          <w:lang w:val="nb-NO"/>
        </w:rPr>
        <w:t>trekker</w:t>
      </w:r>
      <w:r w:rsidR="00487F33">
        <w:rPr>
          <w:lang w:val="nb-NO"/>
        </w:rPr>
        <w:t xml:space="preserve"> ut DNA fra alle </w:t>
      </w:r>
      <w:r w:rsidR="00B5267F">
        <w:rPr>
          <w:lang w:val="nb-NO"/>
        </w:rPr>
        <w:t>organismene</w:t>
      </w:r>
      <w:r w:rsidR="00487F33">
        <w:rPr>
          <w:lang w:val="nb-NO"/>
        </w:rPr>
        <w:t xml:space="preserve"> man har </w:t>
      </w:r>
      <w:r w:rsidR="00B5267F">
        <w:rPr>
          <w:lang w:val="nb-NO"/>
        </w:rPr>
        <w:t>fanget,</w:t>
      </w:r>
      <w:r w:rsidR="00487F33">
        <w:rPr>
          <w:lang w:val="nb-NO"/>
        </w:rPr>
        <w:t xml:space="preserve"> slik at man endrer opp en prøve med DNA fra mange </w:t>
      </w:r>
      <w:r w:rsidR="00B5267F">
        <w:rPr>
          <w:lang w:val="nb-NO"/>
        </w:rPr>
        <w:t>forskjellige</w:t>
      </w:r>
      <w:r w:rsidR="00487F33">
        <w:rPr>
          <w:lang w:val="nb-NO"/>
        </w:rPr>
        <w:t xml:space="preserve"> dyr og planter. En annen </w:t>
      </w:r>
      <w:r w:rsidR="00B5267F">
        <w:rPr>
          <w:lang w:val="nb-NO"/>
        </w:rPr>
        <w:t>metode</w:t>
      </w:r>
      <w:r w:rsidR="00487F33">
        <w:rPr>
          <w:lang w:val="nb-NO"/>
        </w:rPr>
        <w:t xml:space="preserve"> kan være å samle inn mageprøver fra dyr, for å trekke ut DNAet fra </w:t>
      </w:r>
      <w:proofErr w:type="spellStart"/>
      <w:r w:rsidR="00487F33">
        <w:rPr>
          <w:lang w:val="nb-NO"/>
        </w:rPr>
        <w:t>middagsrestene</w:t>
      </w:r>
      <w:proofErr w:type="spellEnd"/>
      <w:r w:rsidR="00487F33">
        <w:rPr>
          <w:lang w:val="nb-NO"/>
        </w:rPr>
        <w:t>.</w:t>
      </w:r>
    </w:p>
    <w:p w:rsidR="00B5267F" w:rsidRDefault="00B5267F" w:rsidP="00AF639E">
      <w:pPr>
        <w:rPr>
          <w:lang w:val="nb-NO"/>
        </w:rPr>
      </w:pPr>
    </w:p>
    <w:p w:rsidR="00B5267F" w:rsidRDefault="00B5267F" w:rsidP="00AF639E">
      <w:pPr>
        <w:rPr>
          <w:lang w:val="nb-NO"/>
        </w:rPr>
      </w:pPr>
      <w:r>
        <w:rPr>
          <w:lang w:val="nb-NO"/>
        </w:rPr>
        <w:t xml:space="preserve">Samlingen vil starte opp </w:t>
      </w:r>
      <w:r w:rsidR="00B00562">
        <w:rPr>
          <w:lang w:val="nb-NO"/>
        </w:rPr>
        <w:t xml:space="preserve">med </w:t>
      </w:r>
      <w:r>
        <w:rPr>
          <w:lang w:val="nb-NO"/>
        </w:rPr>
        <w:t xml:space="preserve">prøver fra Oslofjorden innsamlet blant annet av NINA, og deretter utvide med prøver fra hele verden så sant </w:t>
      </w:r>
      <w:r w:rsidR="00B00562">
        <w:rPr>
          <w:lang w:val="nb-NO"/>
        </w:rPr>
        <w:t xml:space="preserve">det foreligger </w:t>
      </w:r>
      <w:r>
        <w:rPr>
          <w:lang w:val="nb-NO"/>
        </w:rPr>
        <w:t xml:space="preserve">tiltalelser til det. Samlingen vil oppbevares sammen med DNA-samlingen i Colletts hus i -80 frysere og benytte COREMA som databasesystem. </w:t>
      </w:r>
      <w:r w:rsidR="0022463E">
        <w:rPr>
          <w:lang w:val="nb-NO"/>
        </w:rPr>
        <w:t>Man ser for</w:t>
      </w:r>
      <w:r w:rsidR="004B515C">
        <w:rPr>
          <w:lang w:val="nb-NO"/>
        </w:rPr>
        <w:t xml:space="preserve"> </w:t>
      </w:r>
      <w:r w:rsidR="0022463E">
        <w:rPr>
          <w:lang w:val="nb-NO"/>
        </w:rPr>
        <w:t>seg at i løpet av en 10 års periode vil samlingen vokse til ca</w:t>
      </w:r>
      <w:r w:rsidR="00F40A5B">
        <w:rPr>
          <w:lang w:val="nb-NO"/>
        </w:rPr>
        <w:t>.</w:t>
      </w:r>
      <w:r w:rsidR="0022463E">
        <w:rPr>
          <w:lang w:val="nb-NO"/>
        </w:rPr>
        <w:t xml:space="preserve"> 10 000 prøver.</w:t>
      </w:r>
    </w:p>
    <w:p w:rsidR="00A133AE" w:rsidRDefault="009878FF" w:rsidP="00AF639E">
      <w:pPr>
        <w:rPr>
          <w:lang w:val="nb-NO"/>
        </w:rPr>
      </w:pPr>
      <w:r>
        <w:rPr>
          <w:lang w:val="nb-NO"/>
        </w:rPr>
        <w:t>For å inkorporeres i samlingen må materiale</w:t>
      </w:r>
      <w:r w:rsidR="00B00562">
        <w:rPr>
          <w:lang w:val="nb-NO"/>
        </w:rPr>
        <w:t>t</w:t>
      </w:r>
      <w:r>
        <w:rPr>
          <w:lang w:val="nb-NO"/>
        </w:rPr>
        <w:t xml:space="preserve"> ha høy kvalitet på DNAet og kunne deles fritt med andre. </w:t>
      </w:r>
    </w:p>
    <w:p w:rsidR="008141A7" w:rsidRDefault="008141A7" w:rsidP="00AF639E">
      <w:pPr>
        <w:rPr>
          <w:lang w:val="nb-NO"/>
        </w:rPr>
      </w:pPr>
    </w:p>
    <w:p w:rsidR="008141A7" w:rsidRDefault="008141A7" w:rsidP="00AF639E">
      <w:pPr>
        <w:rPr>
          <w:lang w:val="nb-NO"/>
        </w:rPr>
      </w:pPr>
    </w:p>
    <w:p w:rsidR="008141A7" w:rsidRDefault="008141A7" w:rsidP="00AF639E">
      <w:pPr>
        <w:rPr>
          <w:lang w:val="nb-NO"/>
        </w:rPr>
      </w:pPr>
    </w:p>
    <w:p w:rsidR="00AF639E" w:rsidRPr="00AF639E" w:rsidRDefault="00AF639E" w:rsidP="00AF639E">
      <w:pPr>
        <w:rPr>
          <w:lang w:val="nb-NO"/>
        </w:rPr>
      </w:pPr>
    </w:p>
    <w:sectPr w:rsidR="00AF639E" w:rsidRPr="00AF639E" w:rsidSect="005C4094"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7E" w:rsidRDefault="001F0D7E" w:rsidP="005C4094">
      <w:pPr>
        <w:spacing w:after="0" w:line="240" w:lineRule="auto"/>
      </w:pPr>
      <w:r>
        <w:separator/>
      </w:r>
    </w:p>
  </w:endnote>
  <w:endnote w:type="continuationSeparator" w:id="0">
    <w:p w:rsidR="001F0D7E" w:rsidRDefault="001F0D7E" w:rsidP="005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123922"/>
      <w:docPartObj>
        <w:docPartGallery w:val="Page Numbers (Bottom of Page)"/>
        <w:docPartUnique/>
      </w:docPartObj>
    </w:sdtPr>
    <w:sdtEndPr/>
    <w:sdtContent>
      <w:p w:rsidR="004B515C" w:rsidRDefault="004B51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A02" w:rsidRPr="006F1A02">
          <w:rPr>
            <w:noProof/>
            <w:lang w:val="nb-NO"/>
          </w:rPr>
          <w:t>8</w:t>
        </w:r>
        <w:r>
          <w:fldChar w:fldCharType="end"/>
        </w:r>
      </w:p>
    </w:sdtContent>
  </w:sdt>
  <w:p w:rsidR="004B515C" w:rsidRDefault="004B5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7E" w:rsidRDefault="001F0D7E" w:rsidP="005C4094">
      <w:pPr>
        <w:spacing w:after="0" w:line="240" w:lineRule="auto"/>
      </w:pPr>
      <w:r>
        <w:separator/>
      </w:r>
    </w:p>
  </w:footnote>
  <w:footnote w:type="continuationSeparator" w:id="0">
    <w:p w:rsidR="001F0D7E" w:rsidRDefault="001F0D7E" w:rsidP="005C4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2D7E"/>
    <w:multiLevelType w:val="hybridMultilevel"/>
    <w:tmpl w:val="11567D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94"/>
    <w:rsid w:val="0000028F"/>
    <w:rsid w:val="000332A2"/>
    <w:rsid w:val="00051F72"/>
    <w:rsid w:val="000843D4"/>
    <w:rsid w:val="000A164D"/>
    <w:rsid w:val="000E0F14"/>
    <w:rsid w:val="00103894"/>
    <w:rsid w:val="00120EF0"/>
    <w:rsid w:val="001600BF"/>
    <w:rsid w:val="00167DDE"/>
    <w:rsid w:val="001949E6"/>
    <w:rsid w:val="001A10A7"/>
    <w:rsid w:val="001F0D7E"/>
    <w:rsid w:val="0022463E"/>
    <w:rsid w:val="0024116D"/>
    <w:rsid w:val="002515DE"/>
    <w:rsid w:val="00285C0D"/>
    <w:rsid w:val="002C2241"/>
    <w:rsid w:val="0033621F"/>
    <w:rsid w:val="00360258"/>
    <w:rsid w:val="003F176D"/>
    <w:rsid w:val="003F3248"/>
    <w:rsid w:val="00460C15"/>
    <w:rsid w:val="0048561A"/>
    <w:rsid w:val="00487F33"/>
    <w:rsid w:val="004A7BE6"/>
    <w:rsid w:val="004B4439"/>
    <w:rsid w:val="004B515C"/>
    <w:rsid w:val="005C4094"/>
    <w:rsid w:val="005E13EF"/>
    <w:rsid w:val="00617054"/>
    <w:rsid w:val="00642296"/>
    <w:rsid w:val="00664CE7"/>
    <w:rsid w:val="006F1A02"/>
    <w:rsid w:val="006F3CA2"/>
    <w:rsid w:val="007073A6"/>
    <w:rsid w:val="00715AEB"/>
    <w:rsid w:val="00726117"/>
    <w:rsid w:val="00757566"/>
    <w:rsid w:val="00787937"/>
    <w:rsid w:val="007A6923"/>
    <w:rsid w:val="008141A7"/>
    <w:rsid w:val="00923917"/>
    <w:rsid w:val="00962A24"/>
    <w:rsid w:val="009878FF"/>
    <w:rsid w:val="009B20BA"/>
    <w:rsid w:val="00A133AE"/>
    <w:rsid w:val="00AF639E"/>
    <w:rsid w:val="00B00562"/>
    <w:rsid w:val="00B220FC"/>
    <w:rsid w:val="00B5267F"/>
    <w:rsid w:val="00B96E5F"/>
    <w:rsid w:val="00BF123D"/>
    <w:rsid w:val="00C220E0"/>
    <w:rsid w:val="00C64333"/>
    <w:rsid w:val="00CA7EBD"/>
    <w:rsid w:val="00CC200A"/>
    <w:rsid w:val="00D61621"/>
    <w:rsid w:val="00D76EE9"/>
    <w:rsid w:val="00DB53E9"/>
    <w:rsid w:val="00E94C72"/>
    <w:rsid w:val="00F34224"/>
    <w:rsid w:val="00F40A5B"/>
    <w:rsid w:val="00F4344C"/>
    <w:rsid w:val="00F5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62DAA5CC"/>
  <w15:chartTrackingRefBased/>
  <w15:docId w15:val="{27BF1973-EC89-4951-B9A9-95EAFFFA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0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94"/>
  </w:style>
  <w:style w:type="paragraph" w:styleId="Footer">
    <w:name w:val="footer"/>
    <w:basedOn w:val="Normal"/>
    <w:link w:val="FooterChar"/>
    <w:uiPriority w:val="99"/>
    <w:unhideWhenUsed/>
    <w:rsid w:val="005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94"/>
  </w:style>
  <w:style w:type="paragraph" w:styleId="TOCHeading">
    <w:name w:val="TOC Heading"/>
    <w:basedOn w:val="Heading1"/>
    <w:next w:val="Normal"/>
    <w:uiPriority w:val="39"/>
    <w:unhideWhenUsed/>
    <w:qFormat/>
    <w:rsid w:val="005C4094"/>
    <w:pPr>
      <w:outlineLvl w:val="9"/>
    </w:pPr>
    <w:rPr>
      <w:lang w:val="nb-NO"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5C409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40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75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57566"/>
    <w:pPr>
      <w:ind w:left="720"/>
      <w:contextualSpacing/>
    </w:pPr>
  </w:style>
  <w:style w:type="table" w:customStyle="1" w:styleId="GridTable5Dark1">
    <w:name w:val="Grid Table 5 Dark1"/>
    <w:basedOn w:val="TableNormal"/>
    <w:uiPriority w:val="50"/>
    <w:rsid w:val="001600BF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D76EE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uio.no/for-ansatte/enhetssider/nhm/prosjekter/strategi-2017/revita-plan-2021-for-team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mlingsportal.nhm.uio.no/museum/nh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iki.uio.no/nhm/skf/best-practices/index.php/Samlingstal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D892-9773-4B63-ACC0-5393E836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1081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Rindal</dc:creator>
  <cp:keywords/>
  <dc:description/>
  <cp:lastModifiedBy>Eirik Rindal</cp:lastModifiedBy>
  <cp:revision>4</cp:revision>
  <dcterms:created xsi:type="dcterms:W3CDTF">2022-09-19T06:30:00Z</dcterms:created>
  <dcterms:modified xsi:type="dcterms:W3CDTF">2022-09-19T06:36:00Z</dcterms:modified>
</cp:coreProperties>
</file>