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C5" w:rsidRDefault="00F11DC5" w:rsidP="00F11DC5">
      <w:pPr>
        <w:pStyle w:val="Standard"/>
        <w:jc w:val="center"/>
        <w:rPr>
          <w:b/>
          <w:bCs/>
          <w:color w:val="000000"/>
          <w:sz w:val="32"/>
          <w:szCs w:val="32"/>
          <w:u w:val="single"/>
        </w:rPr>
      </w:pPr>
    </w:p>
    <w:p w:rsidR="00F11DC5" w:rsidRPr="00F11DC5" w:rsidRDefault="00EF29A0" w:rsidP="00F11DC5">
      <w:pPr>
        <w:pStyle w:val="Standard"/>
        <w:jc w:val="center"/>
        <w:rPr>
          <w:b/>
          <w:bCs/>
          <w:color w:val="000000"/>
          <w:sz w:val="32"/>
          <w:szCs w:val="32"/>
          <w:u w:val="single"/>
        </w:rPr>
      </w:pPr>
      <w:r>
        <w:rPr>
          <w:b/>
          <w:bCs/>
          <w:color w:val="000000"/>
          <w:sz w:val="32"/>
          <w:szCs w:val="32"/>
          <w:u w:val="single"/>
        </w:rPr>
        <w:t>Sample</w:t>
      </w:r>
      <w:bookmarkStart w:id="0" w:name="_GoBack"/>
      <w:bookmarkEnd w:id="0"/>
      <w:r w:rsidR="00F11DC5" w:rsidRPr="00F11DC5">
        <w:rPr>
          <w:b/>
          <w:bCs/>
          <w:color w:val="000000"/>
          <w:sz w:val="32"/>
          <w:szCs w:val="32"/>
          <w:u w:val="single"/>
        </w:rPr>
        <w:t xml:space="preserve"> documentation </w:t>
      </w:r>
    </w:p>
    <w:p w:rsidR="00F11DC5" w:rsidRPr="004A1954" w:rsidRDefault="00F11DC5" w:rsidP="00F11DC5">
      <w:pPr>
        <w:pStyle w:val="Default"/>
      </w:pPr>
    </w:p>
    <w:p w:rsidR="00F11DC5" w:rsidRPr="00225CD0" w:rsidRDefault="00F11DC5" w:rsidP="00F11DC5">
      <w:pPr>
        <w:pStyle w:val="Standard"/>
        <w:ind w:right="-1"/>
        <w:jc w:val="both"/>
        <w:rPr>
          <w:color w:val="000000"/>
          <w:sz w:val="18"/>
          <w:szCs w:val="18"/>
        </w:rPr>
      </w:pPr>
      <w:r w:rsidRPr="00225CD0">
        <w:rPr>
          <w:color w:val="000000"/>
          <w:sz w:val="18"/>
          <w:szCs w:val="18"/>
        </w:rPr>
        <w:t xml:space="preserve">This package contains </w:t>
      </w:r>
      <w:r w:rsidR="00482E7D" w:rsidRPr="00482E7D">
        <w:rPr>
          <w:color w:val="000000"/>
          <w:sz w:val="18"/>
          <w:szCs w:val="18"/>
        </w:rPr>
        <w:t xml:space="preserve">preserved </w:t>
      </w:r>
      <w:r w:rsidR="00482E7D">
        <w:rPr>
          <w:color w:val="000000"/>
          <w:sz w:val="18"/>
          <w:szCs w:val="18"/>
          <w:highlight w:val="yellow"/>
        </w:rPr>
        <w:t>sperm/blood</w:t>
      </w:r>
      <w:r w:rsidR="00482E7D" w:rsidRPr="00482E7D">
        <w:rPr>
          <w:color w:val="000000"/>
          <w:sz w:val="18"/>
          <w:szCs w:val="18"/>
        </w:rPr>
        <w:t xml:space="preserve"> samples </w:t>
      </w:r>
      <w:r w:rsidRPr="00225CD0">
        <w:rPr>
          <w:color w:val="000000"/>
          <w:sz w:val="18"/>
          <w:szCs w:val="18"/>
        </w:rPr>
        <w:t>for scientific research - no commercial value, not for resale</w:t>
      </w:r>
      <w:r>
        <w:rPr>
          <w:color w:val="000000"/>
          <w:sz w:val="18"/>
          <w:szCs w:val="18"/>
        </w:rPr>
        <w:t xml:space="preserve">.  </w:t>
      </w:r>
      <w:r w:rsidR="00482E7D">
        <w:rPr>
          <w:color w:val="000000"/>
          <w:sz w:val="18"/>
          <w:szCs w:val="18"/>
        </w:rPr>
        <w:t>The samples a</w:t>
      </w:r>
      <w:r w:rsidRPr="00225CD0">
        <w:rPr>
          <w:color w:val="000000"/>
          <w:sz w:val="18"/>
          <w:szCs w:val="18"/>
        </w:rPr>
        <w:t xml:space="preserve">re </w:t>
      </w:r>
      <w:r w:rsidRPr="00482E7D">
        <w:rPr>
          <w:color w:val="000000"/>
          <w:sz w:val="18"/>
          <w:szCs w:val="18"/>
        </w:rPr>
        <w:t xml:space="preserve">preserved in </w:t>
      </w:r>
      <w:r w:rsidR="00482E7D">
        <w:rPr>
          <w:color w:val="000000"/>
          <w:sz w:val="18"/>
          <w:szCs w:val="18"/>
          <w:highlight w:val="yellow"/>
        </w:rPr>
        <w:t>5% formaldehyde</w:t>
      </w:r>
      <w:r w:rsidRPr="00F11DC5">
        <w:rPr>
          <w:color w:val="000000"/>
          <w:sz w:val="18"/>
          <w:szCs w:val="18"/>
          <w:highlight w:val="yellow"/>
        </w:rPr>
        <w:t xml:space="preserve"> solution</w:t>
      </w:r>
      <w:r w:rsidR="00482E7D">
        <w:rPr>
          <w:color w:val="000000"/>
          <w:sz w:val="18"/>
          <w:szCs w:val="18"/>
          <w:highlight w:val="yellow"/>
        </w:rPr>
        <w:t>/96% ethanol</w:t>
      </w:r>
      <w:r w:rsidR="00482E7D">
        <w:rPr>
          <w:color w:val="000000"/>
          <w:sz w:val="18"/>
          <w:szCs w:val="18"/>
        </w:rPr>
        <w:t xml:space="preserve">, and </w:t>
      </w:r>
      <w:r w:rsidRPr="00225CD0">
        <w:rPr>
          <w:color w:val="000000"/>
          <w:sz w:val="18"/>
          <w:szCs w:val="18"/>
        </w:rPr>
        <w:t xml:space="preserve">are </w:t>
      </w:r>
      <w:r w:rsidRPr="00482E7D">
        <w:rPr>
          <w:color w:val="000000"/>
          <w:sz w:val="18"/>
          <w:szCs w:val="18"/>
        </w:rPr>
        <w:t>not infectious due to these preservation techniques.</w:t>
      </w:r>
      <w:r w:rsidRPr="00225CD0">
        <w:rPr>
          <w:color w:val="000000"/>
          <w:sz w:val="18"/>
          <w:szCs w:val="18"/>
        </w:rPr>
        <w:t xml:space="preserve"> </w:t>
      </w:r>
    </w:p>
    <w:p w:rsidR="00F11DC5" w:rsidRPr="00225CD0" w:rsidRDefault="00F11DC5" w:rsidP="00F11DC5">
      <w:pPr>
        <w:pStyle w:val="Default"/>
        <w:ind w:right="-1"/>
        <w:jc w:val="both"/>
        <w:rPr>
          <w:sz w:val="18"/>
          <w:szCs w:val="18"/>
        </w:rPr>
      </w:pPr>
    </w:p>
    <w:p w:rsidR="00F11DC5" w:rsidRPr="00225CD0" w:rsidRDefault="00F11DC5" w:rsidP="00F11DC5">
      <w:pPr>
        <w:pStyle w:val="NoSpacing"/>
        <w:ind w:right="-1"/>
        <w:jc w:val="both"/>
        <w:rPr>
          <w:rFonts w:ascii="Arial" w:hAnsi="Arial" w:cs="Arial"/>
          <w:sz w:val="18"/>
          <w:szCs w:val="18"/>
        </w:rPr>
      </w:pPr>
      <w:r w:rsidRPr="00225CD0">
        <w:rPr>
          <w:rFonts w:ascii="Arial" w:hAnsi="Arial" w:cs="Arial"/>
          <w:sz w:val="18"/>
          <w:szCs w:val="18"/>
        </w:rPr>
        <w:t xml:space="preserve">Preserved </w:t>
      </w:r>
      <w:r w:rsidR="00482E7D">
        <w:rPr>
          <w:rFonts w:ascii="Arial" w:hAnsi="Arial" w:cs="Arial"/>
          <w:sz w:val="18"/>
          <w:szCs w:val="18"/>
        </w:rPr>
        <w:t xml:space="preserve">samples </w:t>
      </w:r>
      <w:r w:rsidRPr="00225CD0">
        <w:rPr>
          <w:rFonts w:ascii="Arial" w:hAnsi="Arial" w:cs="Arial"/>
          <w:sz w:val="18"/>
          <w:szCs w:val="18"/>
        </w:rPr>
        <w:t xml:space="preserve">are </w:t>
      </w:r>
      <w:r w:rsidR="00482E7D">
        <w:rPr>
          <w:rFonts w:ascii="Arial" w:hAnsi="Arial" w:cs="Arial"/>
          <w:sz w:val="18"/>
          <w:szCs w:val="18"/>
        </w:rPr>
        <w:t xml:space="preserve">stored in plastic vials with screw-cork and rubber gaskets, </w:t>
      </w:r>
      <w:r w:rsidRPr="00225CD0">
        <w:rPr>
          <w:rFonts w:ascii="Arial" w:hAnsi="Arial" w:cs="Arial"/>
          <w:sz w:val="18"/>
          <w:szCs w:val="18"/>
        </w:rPr>
        <w:t xml:space="preserve">packed with absorbent material </w:t>
      </w:r>
      <w:r w:rsidR="00482E7D">
        <w:rPr>
          <w:rFonts w:ascii="Arial" w:hAnsi="Arial" w:cs="Arial"/>
          <w:sz w:val="18"/>
          <w:szCs w:val="18"/>
        </w:rPr>
        <w:t xml:space="preserve">and </w:t>
      </w:r>
      <w:r w:rsidRPr="00225CD0">
        <w:rPr>
          <w:rFonts w:ascii="Arial" w:hAnsi="Arial" w:cs="Arial"/>
          <w:sz w:val="18"/>
          <w:szCs w:val="18"/>
        </w:rPr>
        <w:t xml:space="preserve">sealed </w:t>
      </w:r>
      <w:r w:rsidR="00482E7D">
        <w:rPr>
          <w:rFonts w:ascii="Arial" w:hAnsi="Arial" w:cs="Arial"/>
          <w:sz w:val="18"/>
          <w:szCs w:val="18"/>
        </w:rPr>
        <w:t xml:space="preserve">twice in </w:t>
      </w:r>
      <w:r w:rsidRPr="00225CD0">
        <w:rPr>
          <w:rFonts w:ascii="Arial" w:hAnsi="Arial" w:cs="Arial"/>
          <w:sz w:val="18"/>
          <w:szCs w:val="18"/>
        </w:rPr>
        <w:t>polyethylene p</w:t>
      </w:r>
      <w:r w:rsidR="00482E7D">
        <w:rPr>
          <w:rFonts w:ascii="Arial" w:hAnsi="Arial" w:cs="Arial"/>
          <w:sz w:val="18"/>
          <w:szCs w:val="18"/>
        </w:rPr>
        <w:t>lastic bags. For transportation</w:t>
      </w:r>
      <w:r w:rsidRPr="00225CD0">
        <w:rPr>
          <w:rFonts w:ascii="Arial" w:hAnsi="Arial" w:cs="Arial"/>
          <w:sz w:val="18"/>
          <w:szCs w:val="18"/>
        </w:rPr>
        <w:t xml:space="preserve">. The amount of free liquid Ethanol per inner packing is less than 30 ml and the package complies with IATA Special Provision SP A180 and 2.3.5.14 (see below).  Class 3, </w:t>
      </w:r>
      <w:r>
        <w:rPr>
          <w:rFonts w:ascii="Arial" w:hAnsi="Arial" w:cs="Arial"/>
          <w:sz w:val="18"/>
          <w:szCs w:val="18"/>
        </w:rPr>
        <w:t>UN 1987, packing group II.</w:t>
      </w:r>
    </w:p>
    <w:p w:rsidR="00F11DC5" w:rsidRPr="00BC3EE2" w:rsidRDefault="00F11DC5" w:rsidP="00F11DC5">
      <w:pPr>
        <w:pStyle w:val="Standard"/>
        <w:ind w:right="-1"/>
        <w:rPr>
          <w:rFonts w:ascii="Times New Roman" w:hAnsi="Times New Roman" w:cs="Times New Roman"/>
          <w:color w:val="000000"/>
          <w:sz w:val="22"/>
          <w:szCs w:val="22"/>
        </w:rPr>
      </w:pPr>
    </w:p>
    <w:p w:rsidR="00F11DC5" w:rsidRPr="00221CD8" w:rsidRDefault="00F11DC5" w:rsidP="00F11DC5">
      <w:pPr>
        <w:pStyle w:val="Default"/>
      </w:pPr>
    </w:p>
    <w:p w:rsidR="00F11DC5" w:rsidRPr="004A1954" w:rsidRDefault="00F11DC5" w:rsidP="00F11DC5">
      <w:pPr>
        <w:pStyle w:val="Default"/>
        <w:pBdr>
          <w:bottom w:val="single" w:sz="12" w:space="1" w:color="auto"/>
        </w:pBdr>
      </w:pPr>
    </w:p>
    <w:p w:rsidR="00F11DC5" w:rsidRDefault="00F11DC5" w:rsidP="00F11DC5">
      <w:pPr>
        <w:pStyle w:val="Default"/>
      </w:pPr>
      <w:r>
        <w:rPr>
          <w:noProof/>
          <w:lang w:val="nb-NO" w:eastAsia="zh-CN"/>
        </w:rPr>
        <w:drawing>
          <wp:anchor distT="0" distB="0" distL="114300" distR="114300" simplePos="0" relativeHeight="251659264" behindDoc="0" locked="0" layoutInCell="1" allowOverlap="1">
            <wp:simplePos x="0" y="0"/>
            <wp:positionH relativeFrom="column">
              <wp:posOffset>5027295</wp:posOffset>
            </wp:positionH>
            <wp:positionV relativeFrom="paragraph">
              <wp:posOffset>90170</wp:posOffset>
            </wp:positionV>
            <wp:extent cx="1289050" cy="7937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DC5" w:rsidRPr="00C34746" w:rsidRDefault="00F11DC5" w:rsidP="00F11DC5">
      <w:pPr>
        <w:pStyle w:val="Default"/>
        <w:jc w:val="both"/>
        <w:rPr>
          <w:b/>
          <w:bCs/>
          <w:color w:val="231F20"/>
          <w:sz w:val="20"/>
          <w:szCs w:val="20"/>
          <w:u w:val="single"/>
        </w:rPr>
      </w:pPr>
      <w:r w:rsidRPr="00C34746">
        <w:rPr>
          <w:b/>
          <w:bCs/>
          <w:color w:val="231F20"/>
          <w:sz w:val="20"/>
          <w:szCs w:val="20"/>
          <w:u w:val="single"/>
        </w:rPr>
        <w:t>IATA Dangerous Goods Regulations</w:t>
      </w:r>
    </w:p>
    <w:p w:rsidR="00F11DC5" w:rsidRDefault="00F11DC5" w:rsidP="00F11DC5">
      <w:pPr>
        <w:pStyle w:val="Default"/>
        <w:jc w:val="both"/>
        <w:rPr>
          <w:b/>
          <w:bCs/>
          <w:color w:val="231F20"/>
          <w:sz w:val="20"/>
          <w:szCs w:val="20"/>
        </w:rPr>
      </w:pPr>
    </w:p>
    <w:p w:rsidR="00F11DC5" w:rsidRPr="00C34746" w:rsidRDefault="00F11DC5" w:rsidP="00F11DC5">
      <w:pPr>
        <w:pStyle w:val="Default"/>
        <w:jc w:val="both"/>
        <w:rPr>
          <w:b/>
          <w:bCs/>
          <w:color w:val="231F20"/>
          <w:sz w:val="20"/>
          <w:szCs w:val="20"/>
        </w:rPr>
      </w:pPr>
      <w:r w:rsidRPr="00C34746">
        <w:rPr>
          <w:b/>
          <w:bCs/>
          <w:color w:val="231F20"/>
          <w:sz w:val="20"/>
          <w:szCs w:val="20"/>
        </w:rPr>
        <w:t>2.3 Dangerous Goods Carried by Passengers or Crew</w:t>
      </w:r>
    </w:p>
    <w:p w:rsidR="00F11DC5" w:rsidRPr="00C34746" w:rsidRDefault="00F11DC5" w:rsidP="00F11DC5">
      <w:pPr>
        <w:pStyle w:val="Default"/>
        <w:jc w:val="both"/>
        <w:rPr>
          <w:b/>
          <w:bCs/>
          <w:color w:val="231F20"/>
          <w:sz w:val="18"/>
          <w:szCs w:val="18"/>
        </w:rPr>
      </w:pPr>
      <w:r w:rsidRPr="00C34746">
        <w:rPr>
          <w:b/>
          <w:bCs/>
          <w:color w:val="231F20"/>
          <w:sz w:val="18"/>
          <w:szCs w:val="18"/>
        </w:rPr>
        <w:t>2.3.5 Goods Acceptable without the Operator's Approval</w:t>
      </w:r>
    </w:p>
    <w:p w:rsidR="00F11DC5" w:rsidRPr="00C34746" w:rsidRDefault="00F11DC5" w:rsidP="00F11DC5">
      <w:pPr>
        <w:pStyle w:val="Default"/>
        <w:jc w:val="both"/>
        <w:rPr>
          <w:b/>
          <w:bCs/>
          <w:color w:val="231F20"/>
          <w:sz w:val="18"/>
          <w:szCs w:val="18"/>
        </w:rPr>
      </w:pPr>
      <w:r w:rsidRPr="00C34746">
        <w:rPr>
          <w:b/>
          <w:bCs/>
          <w:color w:val="231F20"/>
          <w:sz w:val="18"/>
          <w:szCs w:val="18"/>
        </w:rPr>
        <w:t>2.3.5.14 Non-Infectious Specimens Packed with Small Quantities of Flammable Liquids</w:t>
      </w:r>
    </w:p>
    <w:p w:rsidR="00F11DC5" w:rsidRDefault="00F11DC5" w:rsidP="00F11DC5">
      <w:pPr>
        <w:pStyle w:val="Default"/>
        <w:jc w:val="both"/>
        <w:rPr>
          <w:b/>
          <w:bCs/>
          <w:color w:val="231F20"/>
          <w:sz w:val="22"/>
          <w:szCs w:val="22"/>
        </w:rPr>
      </w:pPr>
    </w:p>
    <w:p w:rsidR="00F11DC5" w:rsidRDefault="00F11DC5" w:rsidP="00F11DC5">
      <w:pPr>
        <w:pStyle w:val="Default"/>
        <w:jc w:val="both"/>
        <w:rPr>
          <w:b/>
          <w:bCs/>
          <w:sz w:val="18"/>
          <w:szCs w:val="18"/>
        </w:rPr>
      </w:pPr>
      <w:r>
        <w:rPr>
          <w:color w:val="231F20"/>
          <w:sz w:val="18"/>
          <w:szCs w:val="18"/>
        </w:rPr>
        <w:t>In checked or carry-on baggage non-infectious specimens, such as specimens of mammals, birds, amphibians, reptiles, fish, insects and other invertebrates containing small quantities of flammable liquids provided that the requirements of Special Provision A180 are complied with.</w:t>
      </w:r>
    </w:p>
    <w:p w:rsidR="00F11DC5" w:rsidRDefault="00F11DC5" w:rsidP="00F11DC5">
      <w:pPr>
        <w:pStyle w:val="Default"/>
        <w:jc w:val="both"/>
        <w:rPr>
          <w:b/>
          <w:bCs/>
          <w:sz w:val="18"/>
          <w:szCs w:val="18"/>
        </w:rPr>
      </w:pPr>
    </w:p>
    <w:p w:rsidR="00F11DC5" w:rsidRPr="00C34746" w:rsidRDefault="00F11DC5" w:rsidP="00F11DC5">
      <w:pPr>
        <w:autoSpaceDE w:val="0"/>
        <w:autoSpaceDN w:val="0"/>
        <w:adjustRightInd w:val="0"/>
        <w:rPr>
          <w:rFonts w:ascii="Arial" w:hAnsi="Arial" w:cs="Arial"/>
          <w:sz w:val="16"/>
          <w:szCs w:val="16"/>
          <w:u w:val="single"/>
        </w:rPr>
      </w:pPr>
      <w:r w:rsidRPr="00C34746">
        <w:rPr>
          <w:rFonts w:ascii="Arial" w:hAnsi="Arial" w:cs="Arial"/>
          <w:sz w:val="16"/>
          <w:szCs w:val="16"/>
          <w:u w:val="single"/>
        </w:rPr>
        <w:t>Table 2.3A</w:t>
      </w:r>
    </w:p>
    <w:p w:rsidR="00F11DC5" w:rsidRPr="00C34746" w:rsidRDefault="00F11DC5" w:rsidP="00F11DC5">
      <w:pPr>
        <w:autoSpaceDE w:val="0"/>
        <w:autoSpaceDN w:val="0"/>
        <w:adjustRightInd w:val="0"/>
        <w:rPr>
          <w:rFonts w:ascii="Arial" w:hAnsi="Arial" w:cs="Arial"/>
          <w:sz w:val="16"/>
          <w:szCs w:val="16"/>
        </w:rPr>
      </w:pPr>
      <w:r w:rsidRPr="00C34746">
        <w:rPr>
          <w:rFonts w:ascii="Arial" w:hAnsi="Arial" w:cs="Arial"/>
          <w:sz w:val="16"/>
          <w:szCs w:val="16"/>
        </w:rPr>
        <w:t>Permitted in or as carry-on baggage</w:t>
      </w:r>
      <w:r w:rsidRPr="00C34746">
        <w:rPr>
          <w:rFonts w:ascii="Arial" w:hAnsi="Arial" w:cs="Arial"/>
          <w:sz w:val="16"/>
          <w:szCs w:val="16"/>
        </w:rPr>
        <w:tab/>
      </w:r>
      <w:r w:rsidRPr="00C34746">
        <w:rPr>
          <w:rFonts w:ascii="Arial" w:hAnsi="Arial" w:cs="Arial"/>
          <w:sz w:val="16"/>
          <w:szCs w:val="16"/>
        </w:rPr>
        <w:tab/>
      </w:r>
      <w:r w:rsidRPr="00C34746">
        <w:rPr>
          <w:rFonts w:ascii="Arial" w:hAnsi="Arial" w:cs="Arial"/>
          <w:sz w:val="16"/>
          <w:szCs w:val="16"/>
        </w:rPr>
        <w:tab/>
        <w:t>Yes</w:t>
      </w:r>
    </w:p>
    <w:p w:rsidR="00F11DC5" w:rsidRPr="00C34746" w:rsidRDefault="00F11DC5" w:rsidP="00F11DC5">
      <w:pPr>
        <w:autoSpaceDE w:val="0"/>
        <w:autoSpaceDN w:val="0"/>
        <w:adjustRightInd w:val="0"/>
        <w:rPr>
          <w:rFonts w:ascii="Arial" w:hAnsi="Arial" w:cs="Arial"/>
          <w:bCs/>
          <w:sz w:val="16"/>
          <w:szCs w:val="16"/>
        </w:rPr>
      </w:pPr>
      <w:r w:rsidRPr="00C34746">
        <w:rPr>
          <w:rFonts w:ascii="Arial" w:hAnsi="Arial" w:cs="Arial"/>
          <w:bCs/>
          <w:sz w:val="16"/>
          <w:szCs w:val="16"/>
        </w:rPr>
        <w:t>Permitted in or as checked baggage</w:t>
      </w:r>
      <w:r w:rsidRPr="00C34746">
        <w:rPr>
          <w:rFonts w:ascii="Arial" w:hAnsi="Arial" w:cs="Arial"/>
          <w:bCs/>
          <w:sz w:val="16"/>
          <w:szCs w:val="16"/>
        </w:rPr>
        <w:tab/>
      </w:r>
      <w:r w:rsidRPr="00C34746">
        <w:rPr>
          <w:rFonts w:ascii="Arial" w:hAnsi="Arial" w:cs="Arial"/>
          <w:bCs/>
          <w:sz w:val="16"/>
          <w:szCs w:val="16"/>
        </w:rPr>
        <w:tab/>
      </w:r>
      <w:r w:rsidRPr="00C34746">
        <w:rPr>
          <w:rFonts w:ascii="Arial" w:hAnsi="Arial" w:cs="Arial"/>
          <w:bCs/>
          <w:sz w:val="16"/>
          <w:szCs w:val="16"/>
        </w:rPr>
        <w:tab/>
        <w:t>Yes</w:t>
      </w:r>
    </w:p>
    <w:p w:rsidR="00F11DC5" w:rsidRPr="00C34746" w:rsidRDefault="00F11DC5" w:rsidP="00F11DC5">
      <w:pPr>
        <w:autoSpaceDE w:val="0"/>
        <w:autoSpaceDN w:val="0"/>
        <w:adjustRightInd w:val="0"/>
        <w:rPr>
          <w:rFonts w:ascii="Arial" w:hAnsi="Arial" w:cs="Arial"/>
          <w:sz w:val="16"/>
          <w:szCs w:val="16"/>
        </w:rPr>
      </w:pPr>
      <w:r w:rsidRPr="00C34746">
        <w:rPr>
          <w:rFonts w:ascii="Arial" w:hAnsi="Arial" w:cs="Arial"/>
          <w:sz w:val="16"/>
          <w:szCs w:val="16"/>
        </w:rPr>
        <w:t>Permitted on one's person</w:t>
      </w:r>
      <w:r w:rsidRPr="00C34746">
        <w:rPr>
          <w:rFonts w:ascii="Arial" w:hAnsi="Arial" w:cs="Arial"/>
          <w:sz w:val="16"/>
          <w:szCs w:val="16"/>
        </w:rPr>
        <w:tab/>
      </w:r>
      <w:r w:rsidRPr="00C34746">
        <w:rPr>
          <w:rFonts w:ascii="Arial" w:hAnsi="Arial" w:cs="Arial"/>
          <w:sz w:val="16"/>
          <w:szCs w:val="16"/>
        </w:rPr>
        <w:tab/>
      </w:r>
      <w:r w:rsidRPr="00C34746">
        <w:rPr>
          <w:rFonts w:ascii="Arial" w:hAnsi="Arial" w:cs="Arial"/>
          <w:sz w:val="16"/>
          <w:szCs w:val="16"/>
        </w:rPr>
        <w:tab/>
      </w:r>
      <w:r w:rsidRPr="00C34746">
        <w:rPr>
          <w:rFonts w:ascii="Arial" w:hAnsi="Arial" w:cs="Arial"/>
          <w:sz w:val="16"/>
          <w:szCs w:val="16"/>
        </w:rPr>
        <w:tab/>
        <w:t>Yes</w:t>
      </w:r>
    </w:p>
    <w:p w:rsidR="00F11DC5" w:rsidRPr="00C34746" w:rsidRDefault="00F11DC5" w:rsidP="00F11DC5">
      <w:pPr>
        <w:autoSpaceDE w:val="0"/>
        <w:autoSpaceDN w:val="0"/>
        <w:adjustRightInd w:val="0"/>
        <w:rPr>
          <w:rFonts w:ascii="Arial" w:hAnsi="Arial" w:cs="Arial"/>
          <w:bCs/>
          <w:sz w:val="16"/>
          <w:szCs w:val="16"/>
        </w:rPr>
      </w:pPr>
      <w:r w:rsidRPr="00C34746">
        <w:rPr>
          <w:rFonts w:ascii="Arial" w:hAnsi="Arial" w:cs="Arial"/>
          <w:bCs/>
          <w:sz w:val="16"/>
          <w:szCs w:val="16"/>
        </w:rPr>
        <w:t>The approval of the operator(s) is required</w:t>
      </w:r>
      <w:r w:rsidRPr="00C34746">
        <w:rPr>
          <w:rFonts w:ascii="Arial" w:hAnsi="Arial" w:cs="Arial"/>
          <w:bCs/>
          <w:sz w:val="16"/>
          <w:szCs w:val="16"/>
        </w:rPr>
        <w:tab/>
      </w:r>
      <w:r w:rsidRPr="00C34746">
        <w:rPr>
          <w:rFonts w:ascii="Arial" w:hAnsi="Arial" w:cs="Arial"/>
          <w:bCs/>
          <w:sz w:val="16"/>
          <w:szCs w:val="16"/>
        </w:rPr>
        <w:tab/>
      </w:r>
      <w:r>
        <w:rPr>
          <w:rFonts w:ascii="Arial" w:hAnsi="Arial" w:cs="Arial"/>
          <w:bCs/>
          <w:sz w:val="16"/>
          <w:szCs w:val="16"/>
        </w:rPr>
        <w:t xml:space="preserve"> </w:t>
      </w:r>
      <w:r w:rsidRPr="00C34746">
        <w:rPr>
          <w:rFonts w:ascii="Arial" w:hAnsi="Arial" w:cs="Arial"/>
          <w:bCs/>
          <w:sz w:val="16"/>
          <w:szCs w:val="16"/>
        </w:rPr>
        <w:t>No</w:t>
      </w:r>
    </w:p>
    <w:p w:rsidR="00F11DC5" w:rsidRPr="00C34746" w:rsidRDefault="00F11DC5" w:rsidP="00F11DC5">
      <w:pPr>
        <w:pStyle w:val="Default"/>
        <w:jc w:val="both"/>
        <w:rPr>
          <w:bCs/>
          <w:sz w:val="18"/>
          <w:szCs w:val="18"/>
        </w:rPr>
      </w:pPr>
      <w:r w:rsidRPr="00C34746">
        <w:rPr>
          <w:sz w:val="16"/>
          <w:szCs w:val="16"/>
        </w:rPr>
        <w:t>The pilot-in-command must be informed of the location</w:t>
      </w:r>
      <w:r w:rsidRPr="00C34746">
        <w:rPr>
          <w:sz w:val="16"/>
          <w:szCs w:val="16"/>
        </w:rPr>
        <w:tab/>
      </w:r>
      <w:r>
        <w:rPr>
          <w:sz w:val="16"/>
          <w:szCs w:val="16"/>
        </w:rPr>
        <w:t xml:space="preserve"> </w:t>
      </w:r>
      <w:r w:rsidRPr="00C34746">
        <w:rPr>
          <w:sz w:val="16"/>
          <w:szCs w:val="16"/>
        </w:rPr>
        <w:t>No</w:t>
      </w:r>
    </w:p>
    <w:p w:rsidR="00F11DC5" w:rsidRDefault="00F11DC5" w:rsidP="00F11DC5">
      <w:pPr>
        <w:pStyle w:val="Default"/>
        <w:jc w:val="both"/>
        <w:rPr>
          <w:b/>
          <w:bCs/>
          <w:sz w:val="18"/>
          <w:szCs w:val="18"/>
        </w:rPr>
      </w:pPr>
    </w:p>
    <w:p w:rsidR="00F11DC5" w:rsidRPr="00C34746" w:rsidRDefault="00F11DC5" w:rsidP="00F11DC5">
      <w:pPr>
        <w:pStyle w:val="Default"/>
        <w:jc w:val="both"/>
        <w:rPr>
          <w:sz w:val="18"/>
          <w:szCs w:val="18"/>
        </w:rPr>
      </w:pPr>
      <w:r>
        <w:rPr>
          <w:b/>
          <w:bCs/>
          <w:sz w:val="18"/>
          <w:szCs w:val="18"/>
        </w:rPr>
        <w:t xml:space="preserve">IATA </w:t>
      </w:r>
      <w:r w:rsidRPr="00C34746">
        <w:rPr>
          <w:b/>
          <w:bCs/>
          <w:sz w:val="18"/>
          <w:szCs w:val="18"/>
        </w:rPr>
        <w:t xml:space="preserve">A180 </w:t>
      </w:r>
      <w:r w:rsidRPr="00C34746">
        <w:rPr>
          <w:sz w:val="18"/>
          <w:szCs w:val="18"/>
        </w:rPr>
        <w:t>Non-infectious specimens, such as specimens of mammals, birds, amphibians, reptiles, fish, insects and other invertebrates containing small quantities of UN 1170, UN 1198, UN 1987, or UN 1219 are not subject to these Regulations provided the following packing and marking requirements are met:</w:t>
      </w:r>
    </w:p>
    <w:p w:rsidR="00F11DC5" w:rsidRPr="00C34746" w:rsidRDefault="00F11DC5" w:rsidP="00F11DC5">
      <w:pPr>
        <w:pStyle w:val="Default"/>
        <w:numPr>
          <w:ilvl w:val="0"/>
          <w:numId w:val="3"/>
        </w:numPr>
        <w:jc w:val="both"/>
        <w:rPr>
          <w:sz w:val="18"/>
          <w:szCs w:val="18"/>
        </w:rPr>
      </w:pPr>
      <w:r w:rsidRPr="00C34746">
        <w:rPr>
          <w:sz w:val="18"/>
          <w:szCs w:val="18"/>
        </w:rPr>
        <w:t>specimens are:</w:t>
      </w:r>
    </w:p>
    <w:p w:rsidR="00F11DC5" w:rsidRPr="00C34746" w:rsidRDefault="00F11DC5" w:rsidP="00F11DC5">
      <w:pPr>
        <w:pStyle w:val="Default"/>
        <w:numPr>
          <w:ilvl w:val="0"/>
          <w:numId w:val="4"/>
        </w:numPr>
        <w:jc w:val="both"/>
        <w:rPr>
          <w:sz w:val="18"/>
          <w:szCs w:val="18"/>
        </w:rPr>
      </w:pPr>
      <w:r w:rsidRPr="00C34746">
        <w:rPr>
          <w:sz w:val="18"/>
          <w:szCs w:val="18"/>
        </w:rPr>
        <w:t>wrapped in paper towel and/or cheesecloth moistened with alcohol or an alcohol solution and then placed in a plastic bag that is heat-sealed. Any free liquid in the bag must not exceed 30 mL; or</w:t>
      </w:r>
    </w:p>
    <w:p w:rsidR="00F11DC5" w:rsidRPr="00C34746" w:rsidRDefault="00F11DC5" w:rsidP="00F11DC5">
      <w:pPr>
        <w:pStyle w:val="Default"/>
        <w:numPr>
          <w:ilvl w:val="0"/>
          <w:numId w:val="4"/>
        </w:numPr>
        <w:jc w:val="both"/>
      </w:pPr>
      <w:r w:rsidRPr="00C34746">
        <w:rPr>
          <w:sz w:val="18"/>
          <w:szCs w:val="18"/>
        </w:rPr>
        <w:t>placed in vials or other rigid containers with no more than 30 mL of alcohol or an alcohol solution;</w:t>
      </w:r>
    </w:p>
    <w:p w:rsidR="00F11DC5" w:rsidRPr="00C34746" w:rsidRDefault="00F11DC5" w:rsidP="00F11DC5">
      <w:pPr>
        <w:pStyle w:val="Default"/>
        <w:numPr>
          <w:ilvl w:val="0"/>
          <w:numId w:val="3"/>
        </w:numPr>
        <w:jc w:val="both"/>
        <w:rPr>
          <w:sz w:val="18"/>
          <w:szCs w:val="18"/>
        </w:rPr>
      </w:pPr>
      <w:r w:rsidRPr="00C34746">
        <w:rPr>
          <w:sz w:val="18"/>
          <w:szCs w:val="18"/>
        </w:rPr>
        <w:t>the prepared specimens are then placed in a plastic bag that is then heat–sealed;</w:t>
      </w:r>
    </w:p>
    <w:p w:rsidR="00F11DC5" w:rsidRPr="00C34746" w:rsidRDefault="00F11DC5" w:rsidP="00F11DC5">
      <w:pPr>
        <w:pStyle w:val="Default"/>
        <w:numPr>
          <w:ilvl w:val="0"/>
          <w:numId w:val="3"/>
        </w:numPr>
        <w:jc w:val="both"/>
      </w:pPr>
      <w:r w:rsidRPr="00C34746">
        <w:rPr>
          <w:sz w:val="18"/>
          <w:szCs w:val="18"/>
        </w:rPr>
        <w:t>the bagged specimens are then placed inside a another plastic bag with absorbent material then heat sealed;</w:t>
      </w:r>
    </w:p>
    <w:p w:rsidR="00F11DC5" w:rsidRPr="00C34746" w:rsidRDefault="00F11DC5" w:rsidP="00F11DC5">
      <w:pPr>
        <w:pStyle w:val="Default"/>
        <w:numPr>
          <w:ilvl w:val="0"/>
          <w:numId w:val="3"/>
        </w:numPr>
        <w:jc w:val="both"/>
      </w:pPr>
      <w:r w:rsidRPr="00C34746">
        <w:rPr>
          <w:sz w:val="18"/>
          <w:szCs w:val="18"/>
        </w:rPr>
        <w:t>the finished bag is then placed in a strong outer packaging with suitable cushioning material;</w:t>
      </w:r>
    </w:p>
    <w:p w:rsidR="00F11DC5" w:rsidRPr="00C34746" w:rsidRDefault="00F11DC5" w:rsidP="00F11DC5">
      <w:pPr>
        <w:pStyle w:val="Default"/>
        <w:numPr>
          <w:ilvl w:val="0"/>
          <w:numId w:val="3"/>
        </w:numPr>
        <w:jc w:val="both"/>
      </w:pPr>
      <w:r w:rsidRPr="00C34746">
        <w:rPr>
          <w:sz w:val="18"/>
          <w:szCs w:val="18"/>
        </w:rPr>
        <w:t>the total quantity of flammable liquid per outer packaging must not exceed 1 L; and</w:t>
      </w:r>
    </w:p>
    <w:p w:rsidR="00F11DC5" w:rsidRPr="00C34746" w:rsidRDefault="00F11DC5" w:rsidP="00F11DC5">
      <w:pPr>
        <w:pStyle w:val="Default"/>
        <w:numPr>
          <w:ilvl w:val="0"/>
          <w:numId w:val="3"/>
        </w:numPr>
        <w:jc w:val="both"/>
      </w:pPr>
      <w:r w:rsidRPr="00C34746">
        <w:rPr>
          <w:sz w:val="18"/>
          <w:szCs w:val="18"/>
        </w:rPr>
        <w:t>the completed package is marked “scientific research specimens, not restricted Special Provision A180 applies”.</w:t>
      </w:r>
    </w:p>
    <w:p w:rsidR="00F11DC5" w:rsidRDefault="00F11DC5" w:rsidP="00F11DC5">
      <w:pPr>
        <w:pStyle w:val="Default"/>
        <w:jc w:val="both"/>
        <w:rPr>
          <w:sz w:val="18"/>
          <w:szCs w:val="18"/>
        </w:rPr>
      </w:pPr>
    </w:p>
    <w:p w:rsidR="00F11DC5" w:rsidRPr="00C34746" w:rsidRDefault="00F11DC5" w:rsidP="00F11DC5">
      <w:pPr>
        <w:pStyle w:val="Default"/>
        <w:jc w:val="both"/>
      </w:pPr>
      <w:r w:rsidRPr="00C34746">
        <w:rPr>
          <w:sz w:val="18"/>
          <w:szCs w:val="18"/>
        </w:rPr>
        <w:t>The words “not restricted” and the special provision number A180 must be included in the description of the substance on the Air Waybill as required by 8.2.6, when an Air Waybill is issued.</w:t>
      </w:r>
    </w:p>
    <w:p w:rsidR="00DA229F" w:rsidRPr="00A7599D" w:rsidRDefault="00DA229F" w:rsidP="00A7599D"/>
    <w:sectPr w:rsidR="00DA229F" w:rsidRPr="00A7599D" w:rsidSect="00DA229F">
      <w:headerReference w:type="even" r:id="rId9"/>
      <w:headerReference w:type="default" r:id="rId10"/>
      <w:footerReference w:type="default" r:id="rId11"/>
      <w:headerReference w:type="first" r:id="rId12"/>
      <w:pgSz w:w="11907" w:h="16840" w:code="9"/>
      <w:pgMar w:top="567" w:right="851" w:bottom="567" w:left="851" w:header="675"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5" w:rsidRDefault="00AF5A75">
      <w:r>
        <w:separator/>
      </w:r>
    </w:p>
  </w:endnote>
  <w:endnote w:type="continuationSeparator" w:id="0">
    <w:p w:rsidR="00AF5A75" w:rsidRDefault="00AF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corde BE Regular">
    <w:altName w:val="Kartik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Pr="00DA229F" w:rsidRDefault="00D92BE4" w:rsidP="00DA229F">
    <w:pPr>
      <w:pStyle w:val="Footer"/>
      <w:pBdr>
        <w:top w:val="single" w:sz="4" w:space="1" w:color="auto"/>
      </w:pBdr>
      <w:tabs>
        <w:tab w:val="clear" w:pos="9071"/>
        <w:tab w:val="right" w:pos="10206"/>
      </w:tabs>
      <w:rPr>
        <w:i/>
        <w:sz w:val="20"/>
      </w:rPr>
    </w:pPr>
    <w:r w:rsidRPr="0055373A">
      <w:rPr>
        <w:i/>
        <w:sz w:val="20"/>
      </w:rPr>
      <w:tab/>
    </w:r>
    <w:r w:rsidRPr="0055373A">
      <w:rPr>
        <w:i/>
        <w:sz w:val="20"/>
      </w:rPr>
      <w:tab/>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5" w:rsidRDefault="00AF5A75">
      <w:r>
        <w:separator/>
      </w:r>
    </w:p>
  </w:footnote>
  <w:footnote w:type="continuationSeparator" w:id="0">
    <w:p w:rsidR="00AF5A75" w:rsidRDefault="00AF5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Default="00D92BE4" w:rsidP="00AC69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BE4" w:rsidRDefault="00D92BE4" w:rsidP="00AC69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Default="00D92BE4" w:rsidP="00AC6961">
    <w:pPr>
      <w:pStyle w:val="Header"/>
      <w:framePr w:wrap="around" w:vAnchor="text" w:hAnchor="margin" w:xAlign="right" w:y="1"/>
      <w:rPr>
        <w:rStyle w:val="PageNumber"/>
      </w:rPr>
    </w:pPr>
  </w:p>
  <w:p w:rsidR="00D92BE4" w:rsidRDefault="00D92BE4" w:rsidP="005D2170">
    <w:pPr>
      <w:pStyle w:val="Header"/>
      <w:framePr w:w="10042" w:h="960" w:hSpace="141" w:wrap="around" w:vAnchor="text" w:hAnchor="page" w:x="1866" w:y="1"/>
      <w:jc w:val="right"/>
      <w:rPr>
        <w:spacing w:val="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Pr="002A330C" w:rsidRDefault="00D92BE4" w:rsidP="00726534">
    <w:pPr>
      <w:pStyle w:val="Header"/>
    </w:pPr>
    <w:r>
      <w:rPr>
        <w:noProof/>
        <w:lang w:val="nb-NO" w:eastAsia="zh-CN"/>
      </w:rPr>
      <w:drawing>
        <wp:inline distT="0" distB="0" distL="0" distR="0" wp14:anchorId="78726607" wp14:editId="57C10D55">
          <wp:extent cx="3665996" cy="56446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8905" cy="567993"/>
                  </a:xfrm>
                  <a:prstGeom prst="rect">
                    <a:avLst/>
                  </a:prstGeom>
                  <a:noFill/>
                  <a:ln>
                    <a:noFill/>
                  </a:ln>
                </pic:spPr>
              </pic:pic>
            </a:graphicData>
          </a:graphic>
        </wp:inline>
      </w:drawing>
    </w:r>
  </w:p>
  <w:p w:rsidR="00A7599D" w:rsidRPr="00F11DC5" w:rsidRDefault="00A7599D" w:rsidP="0060105C">
    <w:pPr>
      <w:pStyle w:val="Header"/>
      <w:jc w:val="right"/>
      <w:rPr>
        <w:sz w:val="20"/>
        <w:lang w:val="nn-NO"/>
      </w:rPr>
    </w:pPr>
    <w:bookmarkStart w:id="1" w:name="ADMPOSTADRESSE"/>
    <w:r w:rsidRPr="00F11DC5">
      <w:rPr>
        <w:sz w:val="20"/>
        <w:lang w:val="nn-NO"/>
      </w:rPr>
      <w:t>Natural History Museum</w:t>
    </w:r>
  </w:p>
  <w:p w:rsidR="00D92BE4" w:rsidRPr="00F11DC5" w:rsidRDefault="00D92BE4" w:rsidP="0060105C">
    <w:pPr>
      <w:pStyle w:val="Header"/>
      <w:jc w:val="right"/>
      <w:rPr>
        <w:sz w:val="20"/>
        <w:lang w:val="nn-NO"/>
      </w:rPr>
    </w:pPr>
    <w:r w:rsidRPr="00F11DC5">
      <w:rPr>
        <w:sz w:val="20"/>
        <w:lang w:val="nn-NO"/>
      </w:rPr>
      <w:t>PO Box 1172 Blindern</w:t>
    </w:r>
    <w:bookmarkEnd w:id="1"/>
    <w:r w:rsidRPr="00F11DC5">
      <w:rPr>
        <w:sz w:val="20"/>
        <w:lang w:val="nn-NO"/>
      </w:rPr>
      <w:t xml:space="preserve"> </w:t>
    </w:r>
    <w:bookmarkStart w:id="2" w:name="ADMPOSTNR"/>
  </w:p>
  <w:p w:rsidR="00D92BE4" w:rsidRPr="00F11DC5" w:rsidRDefault="00D92BE4" w:rsidP="0060105C">
    <w:pPr>
      <w:pStyle w:val="Header"/>
      <w:jc w:val="right"/>
      <w:rPr>
        <w:sz w:val="20"/>
        <w:lang w:val="nn-NO"/>
      </w:rPr>
    </w:pPr>
    <w:r w:rsidRPr="00F11DC5">
      <w:rPr>
        <w:sz w:val="20"/>
        <w:lang w:val="nn-NO"/>
      </w:rPr>
      <w:t>0318</w:t>
    </w:r>
    <w:bookmarkEnd w:id="2"/>
    <w:r w:rsidRPr="00F11DC5">
      <w:rPr>
        <w:sz w:val="20"/>
        <w:lang w:val="nn-NO"/>
      </w:rPr>
      <w:t xml:space="preserve"> </w:t>
    </w:r>
    <w:bookmarkStart w:id="3" w:name="ADMPOSTSTED"/>
    <w:r w:rsidRPr="00F11DC5">
      <w:rPr>
        <w:sz w:val="20"/>
        <w:lang w:val="nn-NO"/>
      </w:rPr>
      <w:t>Oslo</w:t>
    </w:r>
    <w:bookmarkEnd w:id="3"/>
  </w:p>
  <w:p w:rsidR="00D92BE4" w:rsidRPr="00DA229F" w:rsidRDefault="00D92BE4" w:rsidP="0060105C">
    <w:pPr>
      <w:pStyle w:val="Header"/>
      <w:jc w:val="right"/>
      <w:rPr>
        <w:sz w:val="20"/>
      </w:rPr>
    </w:pPr>
    <w:r w:rsidRPr="00DA229F">
      <w:rPr>
        <w:sz w:val="20"/>
      </w:rPr>
      <w:t>Norway</w:t>
    </w:r>
  </w:p>
  <w:p w:rsidR="00D92BE4" w:rsidRPr="00DA229F" w:rsidRDefault="00D92BE4" w:rsidP="001B40E0">
    <w:pPr>
      <w:pStyle w:val="Header"/>
      <w:jc w:val="right"/>
      <w:rPr>
        <w:b/>
        <w:sz w:val="20"/>
      </w:rPr>
    </w:pPr>
  </w:p>
  <w:p w:rsidR="00D92BE4" w:rsidRPr="00DA229F" w:rsidRDefault="00D92BE4" w:rsidP="005525DB">
    <w:pPr>
      <w:pStyle w:val="Header"/>
      <w:jc w:val="right"/>
      <w:rPr>
        <w:sz w:val="20"/>
      </w:rPr>
    </w:pPr>
    <w:r w:rsidRPr="00DA229F">
      <w:rPr>
        <w:sz w:val="20"/>
      </w:rPr>
      <w:t xml:space="preserve">Phone: (+47) </w:t>
    </w:r>
    <w:bookmarkStart w:id="4" w:name="ADMTELEFON"/>
    <w:r w:rsidRPr="00DA229F">
      <w:rPr>
        <w:sz w:val="20"/>
      </w:rPr>
      <w:t xml:space="preserve">22 85 </w:t>
    </w:r>
    <w:bookmarkEnd w:id="4"/>
    <w:r w:rsidR="00A7599D">
      <w:rPr>
        <w:sz w:val="20"/>
      </w:rPr>
      <w:t>50 50</w:t>
    </w:r>
  </w:p>
  <w:p w:rsidR="00D92BE4" w:rsidRPr="00DA229F" w:rsidRDefault="00A7599D" w:rsidP="0060105C">
    <w:pPr>
      <w:pStyle w:val="Header"/>
      <w:jc w:val="right"/>
      <w:rPr>
        <w:sz w:val="20"/>
      </w:rPr>
    </w:pPr>
    <w:r w:rsidRPr="00A7599D">
      <w:rPr>
        <w:sz w:val="20"/>
      </w:rPr>
      <w:t>postmottak@nhm.uio.no</w:t>
    </w:r>
  </w:p>
  <w:p w:rsidR="00D92BE4" w:rsidRDefault="00D92BE4" w:rsidP="001B40E0">
    <w:pPr>
      <w:pStyle w:val="Header"/>
      <w:jc w:val="right"/>
      <w:rPr>
        <w:sz w:val="20"/>
      </w:rPr>
    </w:pPr>
    <w:bookmarkStart w:id="5" w:name="ADMPOSTGIRO"/>
    <w:r w:rsidRPr="00DA229F">
      <w:rPr>
        <w:sz w:val="20"/>
      </w:rPr>
      <w:t>www.nhm.uio.no</w:t>
    </w:r>
    <w:bookmarkEnd w:id="5"/>
  </w:p>
  <w:p w:rsidR="00D92BE4" w:rsidRPr="00D92BE4" w:rsidRDefault="00D92BE4" w:rsidP="001B40E0">
    <w:pPr>
      <w:pStyle w:val="Header"/>
      <w:jc w:val="right"/>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979"/>
    <w:multiLevelType w:val="hybridMultilevel"/>
    <w:tmpl w:val="3CA01DEC"/>
    <w:lvl w:ilvl="0" w:tplc="5762C038">
      <w:start w:val="1"/>
      <w:numFmt w:val="lowerLetter"/>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2090E"/>
    <w:multiLevelType w:val="hybridMultilevel"/>
    <w:tmpl w:val="A3545A68"/>
    <w:lvl w:ilvl="0" w:tplc="C8B09246">
      <w:start w:val="1"/>
      <w:numFmt w:val="decimal"/>
      <w:lvlText w:val="%1."/>
      <w:lvlJc w:val="left"/>
      <w:pPr>
        <w:ind w:left="1080" w:hanging="360"/>
      </w:pPr>
      <w:rPr>
        <w:rFonts w:ascii="Arial" w:hAnsi="Arial" w:cs="Arial"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8C6837"/>
    <w:multiLevelType w:val="hybridMultilevel"/>
    <w:tmpl w:val="AB8236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C8E7711"/>
    <w:multiLevelType w:val="hybridMultilevel"/>
    <w:tmpl w:val="6EAC3B76"/>
    <w:lvl w:ilvl="0" w:tplc="FFFFFFFF">
      <w:start w:val="1"/>
      <w:numFmt w:val="bullet"/>
      <w:pStyle w:val="PunktmUiO"/>
      <w:lvlText w:val=""/>
      <w:lvlJc w:val="left"/>
      <w:pPr>
        <w:tabs>
          <w:tab w:val="num" w:pos="1428"/>
        </w:tabs>
        <w:ind w:left="1428"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75"/>
    <w:rsid w:val="00013E77"/>
    <w:rsid w:val="00034F25"/>
    <w:rsid w:val="00047E71"/>
    <w:rsid w:val="00050F9C"/>
    <w:rsid w:val="0005358B"/>
    <w:rsid w:val="0005746F"/>
    <w:rsid w:val="00064702"/>
    <w:rsid w:val="0008189E"/>
    <w:rsid w:val="00096ADC"/>
    <w:rsid w:val="000A064D"/>
    <w:rsid w:val="000A61CA"/>
    <w:rsid w:val="000A6A15"/>
    <w:rsid w:val="000B68E5"/>
    <w:rsid w:val="000D2898"/>
    <w:rsid w:val="000D7B33"/>
    <w:rsid w:val="000F1D22"/>
    <w:rsid w:val="0010137D"/>
    <w:rsid w:val="00111CCE"/>
    <w:rsid w:val="0013055D"/>
    <w:rsid w:val="00154522"/>
    <w:rsid w:val="001B40E0"/>
    <w:rsid w:val="001B46D6"/>
    <w:rsid w:val="001C4BB5"/>
    <w:rsid w:val="001F27F2"/>
    <w:rsid w:val="00204254"/>
    <w:rsid w:val="00222634"/>
    <w:rsid w:val="00226876"/>
    <w:rsid w:val="00237AFC"/>
    <w:rsid w:val="002567BA"/>
    <w:rsid w:val="002576BF"/>
    <w:rsid w:val="00260B62"/>
    <w:rsid w:val="002768D3"/>
    <w:rsid w:val="00287757"/>
    <w:rsid w:val="0029076F"/>
    <w:rsid w:val="002A2902"/>
    <w:rsid w:val="002A330C"/>
    <w:rsid w:val="002B1B4B"/>
    <w:rsid w:val="002F4DBD"/>
    <w:rsid w:val="0033734D"/>
    <w:rsid w:val="0034135D"/>
    <w:rsid w:val="00353E60"/>
    <w:rsid w:val="00365987"/>
    <w:rsid w:val="00390E35"/>
    <w:rsid w:val="003A4F4A"/>
    <w:rsid w:val="003A7188"/>
    <w:rsid w:val="003B3B0B"/>
    <w:rsid w:val="003F0DD2"/>
    <w:rsid w:val="003F40EC"/>
    <w:rsid w:val="0040294F"/>
    <w:rsid w:val="00403B12"/>
    <w:rsid w:val="00406EA0"/>
    <w:rsid w:val="0041035C"/>
    <w:rsid w:val="00410F31"/>
    <w:rsid w:val="004148E8"/>
    <w:rsid w:val="00433955"/>
    <w:rsid w:val="00467846"/>
    <w:rsid w:val="00482933"/>
    <w:rsid w:val="00482E7D"/>
    <w:rsid w:val="004B2C5E"/>
    <w:rsid w:val="004B5FAD"/>
    <w:rsid w:val="004E2C9B"/>
    <w:rsid w:val="004F16FF"/>
    <w:rsid w:val="004F5FD8"/>
    <w:rsid w:val="00501C40"/>
    <w:rsid w:val="005223C0"/>
    <w:rsid w:val="00534D57"/>
    <w:rsid w:val="005525DB"/>
    <w:rsid w:val="00557D13"/>
    <w:rsid w:val="00572AE0"/>
    <w:rsid w:val="00584AE5"/>
    <w:rsid w:val="0058730E"/>
    <w:rsid w:val="005B585F"/>
    <w:rsid w:val="005D2170"/>
    <w:rsid w:val="005D6E38"/>
    <w:rsid w:val="0060105C"/>
    <w:rsid w:val="0060379D"/>
    <w:rsid w:val="006248C5"/>
    <w:rsid w:val="0063108C"/>
    <w:rsid w:val="00677E31"/>
    <w:rsid w:val="0068687E"/>
    <w:rsid w:val="00692635"/>
    <w:rsid w:val="006B13AE"/>
    <w:rsid w:val="006C16D8"/>
    <w:rsid w:val="006D40FD"/>
    <w:rsid w:val="006E0429"/>
    <w:rsid w:val="006E3051"/>
    <w:rsid w:val="007019CF"/>
    <w:rsid w:val="00724B11"/>
    <w:rsid w:val="00726534"/>
    <w:rsid w:val="00781B85"/>
    <w:rsid w:val="0078310A"/>
    <w:rsid w:val="007B23CC"/>
    <w:rsid w:val="007E76A4"/>
    <w:rsid w:val="007F07CD"/>
    <w:rsid w:val="007F1CC2"/>
    <w:rsid w:val="007F59AD"/>
    <w:rsid w:val="007F6170"/>
    <w:rsid w:val="007F78CC"/>
    <w:rsid w:val="008070EE"/>
    <w:rsid w:val="00811E4C"/>
    <w:rsid w:val="0081215F"/>
    <w:rsid w:val="00832BE9"/>
    <w:rsid w:val="00861A88"/>
    <w:rsid w:val="00865E24"/>
    <w:rsid w:val="008A7CDF"/>
    <w:rsid w:val="008C22B2"/>
    <w:rsid w:val="008C2490"/>
    <w:rsid w:val="008C4E95"/>
    <w:rsid w:val="008D0EF8"/>
    <w:rsid w:val="008D7F21"/>
    <w:rsid w:val="008E7310"/>
    <w:rsid w:val="00901EFD"/>
    <w:rsid w:val="00903A93"/>
    <w:rsid w:val="009453CC"/>
    <w:rsid w:val="00952D17"/>
    <w:rsid w:val="00972909"/>
    <w:rsid w:val="00976CBF"/>
    <w:rsid w:val="009D0597"/>
    <w:rsid w:val="009D760F"/>
    <w:rsid w:val="009F35D1"/>
    <w:rsid w:val="009F7533"/>
    <w:rsid w:val="00A21031"/>
    <w:rsid w:val="00A25D8F"/>
    <w:rsid w:val="00A33E5F"/>
    <w:rsid w:val="00A4163D"/>
    <w:rsid w:val="00A512FA"/>
    <w:rsid w:val="00A673AA"/>
    <w:rsid w:val="00A7599D"/>
    <w:rsid w:val="00A82D83"/>
    <w:rsid w:val="00AC6961"/>
    <w:rsid w:val="00AD40CC"/>
    <w:rsid w:val="00AE05C2"/>
    <w:rsid w:val="00AF5A75"/>
    <w:rsid w:val="00B005E9"/>
    <w:rsid w:val="00B209A2"/>
    <w:rsid w:val="00B21BFC"/>
    <w:rsid w:val="00B2329E"/>
    <w:rsid w:val="00B330B7"/>
    <w:rsid w:val="00B448D8"/>
    <w:rsid w:val="00B679D7"/>
    <w:rsid w:val="00B818FF"/>
    <w:rsid w:val="00B874E0"/>
    <w:rsid w:val="00BD4ADF"/>
    <w:rsid w:val="00BE64E0"/>
    <w:rsid w:val="00BF1447"/>
    <w:rsid w:val="00BF146F"/>
    <w:rsid w:val="00C10024"/>
    <w:rsid w:val="00C11EEF"/>
    <w:rsid w:val="00C14692"/>
    <w:rsid w:val="00C304B6"/>
    <w:rsid w:val="00C31E87"/>
    <w:rsid w:val="00C62962"/>
    <w:rsid w:val="00C75F45"/>
    <w:rsid w:val="00C77ADB"/>
    <w:rsid w:val="00C91389"/>
    <w:rsid w:val="00CD6A59"/>
    <w:rsid w:val="00CE62A4"/>
    <w:rsid w:val="00D013D1"/>
    <w:rsid w:val="00D02AED"/>
    <w:rsid w:val="00D05F19"/>
    <w:rsid w:val="00D315CA"/>
    <w:rsid w:val="00D371C0"/>
    <w:rsid w:val="00D62E94"/>
    <w:rsid w:val="00D74F25"/>
    <w:rsid w:val="00D84153"/>
    <w:rsid w:val="00D92BE4"/>
    <w:rsid w:val="00D94794"/>
    <w:rsid w:val="00DA229F"/>
    <w:rsid w:val="00DB7CEB"/>
    <w:rsid w:val="00DC544F"/>
    <w:rsid w:val="00E446CD"/>
    <w:rsid w:val="00EA4DBA"/>
    <w:rsid w:val="00EB14D7"/>
    <w:rsid w:val="00EE0C75"/>
    <w:rsid w:val="00EE1787"/>
    <w:rsid w:val="00EE537E"/>
    <w:rsid w:val="00EF29A0"/>
    <w:rsid w:val="00F11DC5"/>
    <w:rsid w:val="00F54937"/>
    <w:rsid w:val="00F9217E"/>
    <w:rsid w:val="00F94D12"/>
    <w:rsid w:val="00FE5C04"/>
    <w:rsid w:val="00FF21A1"/>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DC5"/>
    <w:rPr>
      <w:rFonts w:ascii="Garamond" w:hAnsi="Garamond"/>
      <w:sz w:val="24"/>
      <w:lang w:eastAsia="en-US"/>
    </w:rPr>
  </w:style>
  <w:style w:type="paragraph" w:styleId="Heading1">
    <w:name w:val="heading 1"/>
    <w:basedOn w:val="Normal"/>
    <w:next w:val="Normal"/>
    <w:link w:val="Heading1Char"/>
    <w:uiPriority w:val="9"/>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parametre">
    <w:name w:val="parametre"/>
    <w:basedOn w:val="Normal"/>
    <w:pPr>
      <w:tabs>
        <w:tab w:val="left" w:pos="3969"/>
      </w:tabs>
      <w:ind w:left="1491" w:hanging="357"/>
    </w:pPr>
  </w:style>
  <w:style w:type="table" w:styleId="TableGrid">
    <w:name w:val="Table Grid"/>
    <w:basedOn w:val="TableNormal"/>
    <w:uiPriority w:val="59"/>
    <w:rsid w:val="001B46D6"/>
    <w:rPr>
      <w:rFonts w:ascii="Concorde BE Regular" w:hAnsi="Concorde BE 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rPr>
      <w:rFonts w:ascii="Tahoma" w:hAnsi="Tahoma"/>
      <w:sz w:val="16"/>
      <w:szCs w:val="16"/>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2A330C"/>
    <w:rPr>
      <w:b/>
      <w:bCs/>
      <w:sz w:val="24"/>
      <w:u w:val="single"/>
      <w:lang w:val="nb-NO" w:eastAsia="en-US"/>
    </w:rPr>
  </w:style>
  <w:style w:type="paragraph" w:styleId="ListParagraph">
    <w:name w:val="List Paragraph"/>
    <w:basedOn w:val="Normal"/>
    <w:uiPriority w:val="34"/>
    <w:qFormat/>
    <w:rsid w:val="002A330C"/>
    <w:pPr>
      <w:ind w:left="720"/>
      <w:contextualSpacing/>
    </w:pPr>
  </w:style>
  <w:style w:type="character" w:styleId="Hyperlink">
    <w:name w:val="Hyperlink"/>
    <w:basedOn w:val="DefaultParagraphFont"/>
    <w:rsid w:val="00D92BE4"/>
    <w:rPr>
      <w:color w:val="0000FF" w:themeColor="hyperlink"/>
      <w:u w:val="single"/>
    </w:rPr>
  </w:style>
  <w:style w:type="paragraph" w:customStyle="1" w:styleId="Default">
    <w:name w:val="Default"/>
    <w:rsid w:val="00F11DC5"/>
    <w:pPr>
      <w:autoSpaceDE w:val="0"/>
      <w:autoSpaceDN w:val="0"/>
      <w:adjustRightInd w:val="0"/>
    </w:pPr>
    <w:rPr>
      <w:rFonts w:ascii="Arial" w:hAnsi="Arial" w:cs="Arial"/>
      <w:color w:val="000000"/>
      <w:sz w:val="24"/>
      <w:szCs w:val="24"/>
      <w:lang w:eastAsia="en-US"/>
    </w:rPr>
  </w:style>
  <w:style w:type="paragraph" w:customStyle="1" w:styleId="Standard">
    <w:name w:val="Standard"/>
    <w:basedOn w:val="Default"/>
    <w:next w:val="Default"/>
    <w:uiPriority w:val="99"/>
    <w:rsid w:val="00F11DC5"/>
    <w:rPr>
      <w:color w:val="auto"/>
    </w:rPr>
  </w:style>
  <w:style w:type="paragraph" w:customStyle="1" w:styleId="berschrift6">
    <w:name w:val="Überschrift 6"/>
    <w:basedOn w:val="Default"/>
    <w:next w:val="Default"/>
    <w:uiPriority w:val="99"/>
    <w:rsid w:val="00F11DC5"/>
    <w:rPr>
      <w:color w:val="auto"/>
    </w:rPr>
  </w:style>
  <w:style w:type="paragraph" w:styleId="NoSpacing">
    <w:name w:val="No Spacing"/>
    <w:uiPriority w:val="1"/>
    <w:qFormat/>
    <w:rsid w:val="00F11DC5"/>
    <w:rPr>
      <w:rFonts w:ascii="Garamond" w:hAnsi="Garamon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DC5"/>
    <w:rPr>
      <w:rFonts w:ascii="Garamond" w:hAnsi="Garamond"/>
      <w:sz w:val="24"/>
      <w:lang w:eastAsia="en-US"/>
    </w:rPr>
  </w:style>
  <w:style w:type="paragraph" w:styleId="Heading1">
    <w:name w:val="heading 1"/>
    <w:basedOn w:val="Normal"/>
    <w:next w:val="Normal"/>
    <w:link w:val="Heading1Char"/>
    <w:uiPriority w:val="9"/>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parametre">
    <w:name w:val="parametre"/>
    <w:basedOn w:val="Normal"/>
    <w:pPr>
      <w:tabs>
        <w:tab w:val="left" w:pos="3969"/>
      </w:tabs>
      <w:ind w:left="1491" w:hanging="357"/>
    </w:pPr>
  </w:style>
  <w:style w:type="table" w:styleId="TableGrid">
    <w:name w:val="Table Grid"/>
    <w:basedOn w:val="TableNormal"/>
    <w:uiPriority w:val="59"/>
    <w:rsid w:val="001B46D6"/>
    <w:rPr>
      <w:rFonts w:ascii="Concorde BE Regular" w:hAnsi="Concorde BE 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rPr>
      <w:rFonts w:ascii="Tahoma" w:hAnsi="Tahoma"/>
      <w:sz w:val="16"/>
      <w:szCs w:val="16"/>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2A330C"/>
    <w:rPr>
      <w:b/>
      <w:bCs/>
      <w:sz w:val="24"/>
      <w:u w:val="single"/>
      <w:lang w:val="nb-NO" w:eastAsia="en-US"/>
    </w:rPr>
  </w:style>
  <w:style w:type="paragraph" w:styleId="ListParagraph">
    <w:name w:val="List Paragraph"/>
    <w:basedOn w:val="Normal"/>
    <w:uiPriority w:val="34"/>
    <w:qFormat/>
    <w:rsid w:val="002A330C"/>
    <w:pPr>
      <w:ind w:left="720"/>
      <w:contextualSpacing/>
    </w:pPr>
  </w:style>
  <w:style w:type="character" w:styleId="Hyperlink">
    <w:name w:val="Hyperlink"/>
    <w:basedOn w:val="DefaultParagraphFont"/>
    <w:rsid w:val="00D92BE4"/>
    <w:rPr>
      <w:color w:val="0000FF" w:themeColor="hyperlink"/>
      <w:u w:val="single"/>
    </w:rPr>
  </w:style>
  <w:style w:type="paragraph" w:customStyle="1" w:styleId="Default">
    <w:name w:val="Default"/>
    <w:rsid w:val="00F11DC5"/>
    <w:pPr>
      <w:autoSpaceDE w:val="0"/>
      <w:autoSpaceDN w:val="0"/>
      <w:adjustRightInd w:val="0"/>
    </w:pPr>
    <w:rPr>
      <w:rFonts w:ascii="Arial" w:hAnsi="Arial" w:cs="Arial"/>
      <w:color w:val="000000"/>
      <w:sz w:val="24"/>
      <w:szCs w:val="24"/>
      <w:lang w:eastAsia="en-US"/>
    </w:rPr>
  </w:style>
  <w:style w:type="paragraph" w:customStyle="1" w:styleId="Standard">
    <w:name w:val="Standard"/>
    <w:basedOn w:val="Default"/>
    <w:next w:val="Default"/>
    <w:uiPriority w:val="99"/>
    <w:rsid w:val="00F11DC5"/>
    <w:rPr>
      <w:color w:val="auto"/>
    </w:rPr>
  </w:style>
  <w:style w:type="paragraph" w:customStyle="1" w:styleId="berschrift6">
    <w:name w:val="Überschrift 6"/>
    <w:basedOn w:val="Default"/>
    <w:next w:val="Default"/>
    <w:uiPriority w:val="99"/>
    <w:rsid w:val="00F11DC5"/>
    <w:rPr>
      <w:color w:val="auto"/>
    </w:rPr>
  </w:style>
  <w:style w:type="paragraph" w:styleId="NoSpacing">
    <w:name w:val="No Spacing"/>
    <w:uiPriority w:val="1"/>
    <w:qFormat/>
    <w:rsid w:val="00F11DC5"/>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NHM DNA Bank MTA</vt:lpstr>
      <vt:lpstr>KHM-mal for MS Word</vt:lpstr>
    </vt:vector>
  </TitlesOfParts>
  <Company>KHM/UIO</Company>
  <LinksUpToDate>false</LinksUpToDate>
  <CharactersWithSpaces>2672</CharactersWithSpaces>
  <SharedDoc>false</SharedDoc>
  <HyperlinkBase>http://www.khm.uio.no/</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 DNA Bank MTA</dc:title>
  <dc:creator>Lars Erik Johannessen</dc:creator>
  <cp:lastModifiedBy>Lars Erik Johannessen</cp:lastModifiedBy>
  <cp:revision>4</cp:revision>
  <cp:lastPrinted>2013-04-30T11:30:00Z</cp:lastPrinted>
  <dcterms:created xsi:type="dcterms:W3CDTF">2013-05-24T08:36:00Z</dcterms:created>
  <dcterms:modified xsi:type="dcterms:W3CDTF">2014-04-11T08:09:00Z</dcterms:modified>
</cp:coreProperties>
</file>