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B6" w:rsidRDefault="00C24FB6" w:rsidP="00C24FB6">
      <w:pPr>
        <w:pStyle w:val="Heading1"/>
        <w:keepLines/>
        <w:numPr>
          <w:ilvl w:val="0"/>
          <w:numId w:val="0"/>
        </w:numPr>
        <w:spacing w:before="0" w:after="0"/>
        <w:rPr>
          <w:rFonts w:asciiTheme="majorHAnsi" w:eastAsiaTheme="majorEastAsia" w:hAnsiTheme="majorHAnsi" w:cstheme="majorBidi"/>
          <w:bCs/>
          <w:caps w:val="0"/>
          <w:color w:val="365F91" w:themeColor="accent1" w:themeShade="BF"/>
          <w:kern w:val="0"/>
          <w:sz w:val="28"/>
          <w:szCs w:val="28"/>
          <w:lang w:val="nn-NO" w:eastAsia="zh-CN"/>
        </w:rPr>
      </w:pPr>
      <w:bookmarkStart w:id="0" w:name="_GoBack"/>
      <w:bookmarkEnd w:id="0"/>
      <w:r w:rsidRPr="00F3660B">
        <w:rPr>
          <w:rFonts w:asciiTheme="majorHAnsi" w:eastAsiaTheme="majorEastAsia" w:hAnsiTheme="majorHAnsi" w:cstheme="majorBidi"/>
          <w:bCs/>
          <w:caps w:val="0"/>
          <w:color w:val="365F91" w:themeColor="accent1" w:themeShade="BF"/>
          <w:kern w:val="0"/>
          <w:sz w:val="28"/>
          <w:szCs w:val="28"/>
          <w:lang w:val="nn-NO" w:eastAsia="zh-CN"/>
        </w:rPr>
        <w:t>Slutt</w:t>
      </w:r>
      <w:r>
        <w:rPr>
          <w:rFonts w:asciiTheme="majorHAnsi" w:eastAsiaTheme="majorEastAsia" w:hAnsiTheme="majorHAnsi" w:cstheme="majorBidi"/>
          <w:bCs/>
          <w:caps w:val="0"/>
          <w:color w:val="365F91" w:themeColor="accent1" w:themeShade="BF"/>
          <w:kern w:val="0"/>
          <w:sz w:val="28"/>
          <w:szCs w:val="28"/>
          <w:lang w:val="nn-NO" w:eastAsia="zh-CN"/>
        </w:rPr>
        <w:t>notat for pilot MUSIT Ny IT-arkitektur</w:t>
      </w:r>
      <w:r w:rsidR="00DB5D4C">
        <w:rPr>
          <w:rFonts w:asciiTheme="majorHAnsi" w:eastAsiaTheme="majorEastAsia" w:hAnsiTheme="majorHAnsi" w:cstheme="majorBidi"/>
          <w:bCs/>
          <w:caps w:val="0"/>
          <w:color w:val="365F91" w:themeColor="accent1" w:themeShade="BF"/>
          <w:kern w:val="0"/>
          <w:sz w:val="28"/>
          <w:szCs w:val="28"/>
          <w:lang w:val="nn-NO" w:eastAsia="zh-CN"/>
        </w:rPr>
        <w:t>, januar 2017</w:t>
      </w:r>
    </w:p>
    <w:p w:rsidR="00C24FB6" w:rsidRPr="00C24FB6" w:rsidRDefault="00C24FB6" w:rsidP="00C24FB6">
      <w:pPr>
        <w:spacing w:after="0"/>
        <w:rPr>
          <w:lang w:val="nn-NO"/>
        </w:rPr>
      </w:pPr>
    </w:p>
    <w:p w:rsidR="00EC6772" w:rsidRDefault="000E44FD" w:rsidP="00E17DCC">
      <w:pPr>
        <w:spacing w:after="0"/>
        <w:rPr>
          <w:rFonts w:ascii="Arial" w:hAnsi="Arial" w:cs="Arial"/>
        </w:rPr>
      </w:pPr>
      <w:r w:rsidRPr="00DA0AE3">
        <w:rPr>
          <w:rFonts w:ascii="Arial" w:hAnsi="Arial" w:cs="Arial"/>
        </w:rPr>
        <w:t xml:space="preserve">Målsetning og leveranser for piloten ble nedfelt i </w:t>
      </w:r>
      <w:r w:rsidR="00DB5D4C">
        <w:rPr>
          <w:rFonts w:ascii="Arial" w:hAnsi="Arial" w:cs="Arial"/>
        </w:rPr>
        <w:t>styringsdokument for pilot MUSIT Ny IT-arkitektur</w:t>
      </w:r>
      <w:r w:rsidR="00DB5D4C">
        <w:rPr>
          <w:rStyle w:val="FootnoteReference"/>
          <w:rFonts w:ascii="Arial" w:hAnsi="Arial" w:cs="Arial"/>
        </w:rPr>
        <w:footnoteReference w:id="1"/>
      </w:r>
      <w:r w:rsidR="00DB5D4C">
        <w:rPr>
          <w:rFonts w:ascii="Arial" w:hAnsi="Arial" w:cs="Arial"/>
        </w:rPr>
        <w:t>.</w:t>
      </w:r>
      <w:r w:rsidR="00E17DCC">
        <w:rPr>
          <w:rFonts w:ascii="Arial" w:hAnsi="Arial" w:cs="Arial"/>
        </w:rPr>
        <w:t xml:space="preserve"> </w:t>
      </w:r>
      <w:r w:rsidR="00EC6772">
        <w:rPr>
          <w:rFonts w:ascii="Arial" w:hAnsi="Arial" w:cs="Arial"/>
        </w:rPr>
        <w:t xml:space="preserve">Nedenfor er </w:t>
      </w:r>
      <w:r w:rsidR="00E17DCC">
        <w:rPr>
          <w:rFonts w:ascii="Arial" w:hAnsi="Arial" w:cs="Arial"/>
        </w:rPr>
        <w:t xml:space="preserve">en </w:t>
      </w:r>
      <w:r w:rsidR="00EC6772">
        <w:rPr>
          <w:rFonts w:ascii="Arial" w:hAnsi="Arial" w:cs="Arial"/>
        </w:rPr>
        <w:t xml:space="preserve">overordnet vurdering av piloten i henhold til mandatet. </w:t>
      </w:r>
    </w:p>
    <w:p w:rsidR="00C24FB6" w:rsidRDefault="00C24FB6" w:rsidP="00C24FB6">
      <w:pPr>
        <w:tabs>
          <w:tab w:val="left" w:pos="1198"/>
        </w:tabs>
        <w:spacing w:after="0"/>
        <w:rPr>
          <w:rFonts w:ascii="Arial" w:hAnsi="Arial" w:cs="Arial"/>
        </w:rPr>
      </w:pPr>
    </w:p>
    <w:p w:rsidR="007F100E" w:rsidRPr="007F100E" w:rsidRDefault="007F100E" w:rsidP="007F100E">
      <w:pPr>
        <w:pStyle w:val="Heading2"/>
        <w:keepLines/>
        <w:spacing w:after="0" w:line="276" w:lineRule="auto"/>
        <w:rPr>
          <w:rFonts w:asciiTheme="majorHAnsi" w:eastAsiaTheme="majorEastAsia" w:hAnsiTheme="majorHAnsi" w:cstheme="majorBidi"/>
          <w:bCs/>
          <w:color w:val="4F81BD" w:themeColor="accent1"/>
          <w:kern w:val="0"/>
          <w:szCs w:val="26"/>
          <w:lang w:eastAsia="zh-CN"/>
        </w:rPr>
      </w:pPr>
      <w:r w:rsidRPr="007F100E">
        <w:rPr>
          <w:rFonts w:asciiTheme="majorHAnsi" w:eastAsiaTheme="majorEastAsia" w:hAnsiTheme="majorHAnsi" w:cstheme="majorBidi"/>
          <w:bCs/>
          <w:color w:val="4F81BD" w:themeColor="accent1"/>
          <w:kern w:val="0"/>
          <w:szCs w:val="26"/>
          <w:lang w:eastAsia="zh-CN"/>
        </w:rPr>
        <w:t>Overordnet vurdering av piloten</w:t>
      </w:r>
    </w:p>
    <w:p w:rsidR="00A9778F" w:rsidRDefault="0087152C" w:rsidP="00FE0F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Gjennomføring av p</w:t>
      </w:r>
      <w:r w:rsidR="00FE0FD9">
        <w:rPr>
          <w:rFonts w:ascii="Arial" w:hAnsi="Arial" w:cs="Arial"/>
        </w:rPr>
        <w:t xml:space="preserve">iloten </w:t>
      </w:r>
      <w:r>
        <w:rPr>
          <w:rFonts w:ascii="Arial" w:hAnsi="Arial" w:cs="Arial"/>
        </w:rPr>
        <w:t xml:space="preserve">har tatt mye lenger tid enn opprinnelig planlagt. </w:t>
      </w:r>
      <w:r w:rsidR="00A9778F">
        <w:rPr>
          <w:rFonts w:ascii="Arial" w:hAnsi="Arial" w:cs="Arial"/>
        </w:rPr>
        <w:t>Hovedårsakene til f</w:t>
      </w:r>
      <w:r>
        <w:rPr>
          <w:rFonts w:ascii="Arial" w:hAnsi="Arial" w:cs="Arial"/>
        </w:rPr>
        <w:t xml:space="preserve">orsinkelsen </w:t>
      </w:r>
      <w:r w:rsidR="00A9778F">
        <w:rPr>
          <w:rFonts w:ascii="Arial" w:hAnsi="Arial" w:cs="Arial"/>
        </w:rPr>
        <w:t>har vært</w:t>
      </w:r>
      <w:r w:rsidR="000D6AC6">
        <w:rPr>
          <w:rFonts w:ascii="Arial" w:hAnsi="Arial" w:cs="Arial"/>
        </w:rPr>
        <w:t>:</w:t>
      </w:r>
    </w:p>
    <w:p w:rsidR="00A9778F" w:rsidRDefault="00A9778F" w:rsidP="00A9778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7152C" w:rsidRPr="00A9778F">
        <w:rPr>
          <w:rFonts w:ascii="Arial" w:hAnsi="Arial" w:cs="Arial"/>
        </w:rPr>
        <w:t xml:space="preserve">orutsetningen om at prosjektet ikke skulle stå for opplæring har </w:t>
      </w:r>
      <w:r>
        <w:rPr>
          <w:rFonts w:ascii="Arial" w:hAnsi="Arial" w:cs="Arial"/>
        </w:rPr>
        <w:t xml:space="preserve">ikke </w:t>
      </w:r>
      <w:r w:rsidR="0087152C" w:rsidRPr="00A9778F">
        <w:rPr>
          <w:rFonts w:ascii="Arial" w:hAnsi="Arial" w:cs="Arial"/>
        </w:rPr>
        <w:t>vært til stede</w:t>
      </w:r>
    </w:p>
    <w:p w:rsidR="007F100E" w:rsidRDefault="00A9778F" w:rsidP="00A9778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 kompleks arkitektur</w:t>
      </w:r>
    </w:p>
    <w:p w:rsidR="00A9778F" w:rsidRDefault="00A9778F" w:rsidP="00A9778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Forsinket oppstart av eksterne utviklere</w:t>
      </w:r>
    </w:p>
    <w:p w:rsidR="00A9778F" w:rsidRDefault="00A9778F" w:rsidP="00A9778F">
      <w:pPr>
        <w:spacing w:after="0"/>
        <w:rPr>
          <w:rFonts w:ascii="Arial" w:hAnsi="Arial" w:cs="Arial"/>
        </w:rPr>
      </w:pPr>
    </w:p>
    <w:p w:rsidR="00A9778F" w:rsidRDefault="00A9778F" w:rsidP="00A977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Utviklingsteamet </w:t>
      </w:r>
      <w:r w:rsidR="000D6AC6">
        <w:rPr>
          <w:rFonts w:ascii="Arial" w:hAnsi="Arial" w:cs="Arial"/>
        </w:rPr>
        <w:t xml:space="preserve">skal ha ros for at de </w:t>
      </w:r>
      <w:r>
        <w:rPr>
          <w:rFonts w:ascii="Arial" w:hAnsi="Arial" w:cs="Arial"/>
        </w:rPr>
        <w:t>har stått på</w:t>
      </w:r>
      <w:r w:rsidR="003E112F">
        <w:rPr>
          <w:rFonts w:ascii="Arial" w:hAnsi="Arial" w:cs="Arial"/>
        </w:rPr>
        <w:t xml:space="preserve"> og levert et </w:t>
      </w:r>
      <w:r w:rsidR="00716DED">
        <w:rPr>
          <w:rFonts w:ascii="Arial" w:hAnsi="Arial" w:cs="Arial"/>
        </w:rPr>
        <w:t xml:space="preserve">godt </w:t>
      </w:r>
      <w:r w:rsidR="003E112F">
        <w:rPr>
          <w:rFonts w:ascii="Arial" w:hAnsi="Arial" w:cs="Arial"/>
        </w:rPr>
        <w:t xml:space="preserve">produkt </w:t>
      </w:r>
      <w:r>
        <w:rPr>
          <w:rFonts w:ascii="Arial" w:hAnsi="Arial" w:cs="Arial"/>
        </w:rPr>
        <w:t>til tross for mye nytt og en del tunge oppoverbakker.</w:t>
      </w:r>
    </w:p>
    <w:p w:rsidR="00AC0915" w:rsidRDefault="00AC0915" w:rsidP="00A9778F">
      <w:pPr>
        <w:spacing w:after="0"/>
        <w:rPr>
          <w:rFonts w:ascii="Arial" w:hAnsi="Arial" w:cs="Arial"/>
        </w:rPr>
      </w:pPr>
    </w:p>
    <w:p w:rsidR="00716DED" w:rsidRDefault="00716DED" w:rsidP="00716DED">
      <w:pPr>
        <w:tabs>
          <w:tab w:val="left" w:pos="1198"/>
        </w:tabs>
        <w:spacing w:after="0"/>
        <w:rPr>
          <w:rFonts w:ascii="Arial" w:hAnsi="Arial" w:cs="Arial"/>
        </w:rPr>
      </w:pPr>
      <w:r w:rsidRPr="00DA0AE3">
        <w:rPr>
          <w:rFonts w:ascii="Arial" w:hAnsi="Arial" w:cs="Arial"/>
        </w:rPr>
        <w:t>Piloten har lagt grunn</w:t>
      </w:r>
      <w:r>
        <w:rPr>
          <w:rFonts w:ascii="Arial" w:hAnsi="Arial" w:cs="Arial"/>
        </w:rPr>
        <w:t>lag</w:t>
      </w:r>
      <w:r w:rsidRPr="00DA0AE3">
        <w:rPr>
          <w:rFonts w:ascii="Arial" w:hAnsi="Arial" w:cs="Arial"/>
        </w:rPr>
        <w:t xml:space="preserve"> for hvordan </w:t>
      </w:r>
      <w:r>
        <w:rPr>
          <w:rFonts w:ascii="Arial" w:hAnsi="Arial" w:cs="Arial"/>
        </w:rPr>
        <w:t xml:space="preserve">MUSITs baser skal utvikles og forvaltes. Det har blitt implementert nye arbeidsrutiner og metodikk for utviklingsarbeidet. Prosessen er ikke ferdig, men veien videre </w:t>
      </w:r>
      <w:r w:rsidR="005575DA">
        <w:rPr>
          <w:rFonts w:ascii="Arial" w:hAnsi="Arial" w:cs="Arial"/>
        </w:rPr>
        <w:t xml:space="preserve">vil </w:t>
      </w:r>
      <w:r>
        <w:rPr>
          <w:rFonts w:ascii="Arial" w:hAnsi="Arial" w:cs="Arial"/>
        </w:rPr>
        <w:t>bestå av min</w:t>
      </w:r>
      <w:r w:rsidR="005575DA">
        <w:rPr>
          <w:rFonts w:ascii="Arial" w:hAnsi="Arial" w:cs="Arial"/>
        </w:rPr>
        <w:t>dre justeringer og tilpasninger av innarbeidede rutiner og metodikk</w:t>
      </w:r>
      <w:r>
        <w:rPr>
          <w:rFonts w:ascii="Arial" w:hAnsi="Arial" w:cs="Arial"/>
        </w:rPr>
        <w:t>.</w:t>
      </w:r>
    </w:p>
    <w:p w:rsidR="00716DED" w:rsidRDefault="00716DED" w:rsidP="00716DED">
      <w:pPr>
        <w:tabs>
          <w:tab w:val="left" w:pos="1198"/>
        </w:tabs>
        <w:spacing w:after="0"/>
        <w:rPr>
          <w:rFonts w:ascii="Arial" w:hAnsi="Arial" w:cs="Arial"/>
        </w:rPr>
      </w:pPr>
    </w:p>
    <w:p w:rsidR="00716DED" w:rsidRDefault="00716DED" w:rsidP="00716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Piloten har ført til stor forandring i hvordan MUSIT-paraplyen fungerer. Gjennom piloten har samarbeidet mellom MUSIT, museene, og de ulike fagmiljøene blitt mer strukturert, samt tydeligere forankret ved museene. </w:t>
      </w:r>
    </w:p>
    <w:p w:rsidR="00716DED" w:rsidRDefault="00716DED" w:rsidP="00716DED">
      <w:pPr>
        <w:spacing w:after="0"/>
        <w:rPr>
          <w:rFonts w:ascii="Arial" w:hAnsi="Arial" w:cs="Arial"/>
        </w:rPr>
      </w:pPr>
    </w:p>
    <w:p w:rsidR="00716DED" w:rsidRDefault="00716DED" w:rsidP="00716D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Bruk av tverrfaglige referansegrupper</w:t>
      </w:r>
      <w:r w:rsidRPr="00197B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 man har samarbeidet for å få til en felles løsning har vært en suksess, og samarbeidet mellom referansegruppene og prosjektteamet har fungert veldig bra.</w:t>
      </w:r>
    </w:p>
    <w:p w:rsidR="00716DED" w:rsidRDefault="00716DED" w:rsidP="00716DED">
      <w:pPr>
        <w:spacing w:after="0"/>
        <w:rPr>
          <w:rFonts w:ascii="Arial" w:hAnsi="Arial" w:cs="Arial"/>
        </w:rPr>
      </w:pPr>
    </w:p>
    <w:p w:rsidR="00FD3972" w:rsidRDefault="00AC0915" w:rsidP="00A977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Det har vært en utfordring at MUSIT og prosjektet egentlig er innenfor USIT men samtidig er utenfor. Dette har blant annet ført til usikkerhet om </w:t>
      </w:r>
      <w:r w:rsidR="00D333E1" w:rsidRPr="00D333E1">
        <w:rPr>
          <w:rFonts w:ascii="Arial" w:hAnsi="Arial" w:cs="Arial"/>
        </w:rPr>
        <w:t>hvilke rutiner og krav prosjektet er underlagt fra USITs side</w:t>
      </w:r>
      <w:r w:rsidR="00D333E1">
        <w:rPr>
          <w:rFonts w:ascii="Arial" w:hAnsi="Arial" w:cs="Arial"/>
        </w:rPr>
        <w:t>, og om</w:t>
      </w:r>
      <w:r w:rsidR="00D333E1" w:rsidRPr="00D333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beslutninger er tatt på ri</w:t>
      </w:r>
      <w:r w:rsidR="00D333E1">
        <w:rPr>
          <w:rFonts w:ascii="Arial" w:hAnsi="Arial" w:cs="Arial"/>
        </w:rPr>
        <w:t xml:space="preserve">ktig nivå og på riktig grunnlag. </w:t>
      </w:r>
    </w:p>
    <w:p w:rsidR="00E139AC" w:rsidRDefault="00E139AC" w:rsidP="00A9778F">
      <w:pPr>
        <w:spacing w:after="0"/>
        <w:rPr>
          <w:rFonts w:ascii="Arial" w:hAnsi="Arial" w:cs="Arial"/>
        </w:rPr>
      </w:pPr>
    </w:p>
    <w:p w:rsidR="00716DED" w:rsidRDefault="004B39CB" w:rsidP="00716DED">
      <w:pPr>
        <w:tabs>
          <w:tab w:val="left" w:pos="119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Gjennom arbeidet med piloten har det blitt identifisert overordnede føringer angående IKT-sikkerhet og personvern som tidligere ikke har blitt adresserte. </w:t>
      </w:r>
      <w:r w:rsidR="00716DED">
        <w:rPr>
          <w:rFonts w:ascii="Arial" w:hAnsi="Arial" w:cs="Arial"/>
        </w:rPr>
        <w:t xml:space="preserve">Piloten har også </w:t>
      </w:r>
      <w:r>
        <w:rPr>
          <w:rFonts w:ascii="Arial" w:hAnsi="Arial" w:cs="Arial"/>
        </w:rPr>
        <w:t>ført</w:t>
      </w:r>
      <w:r w:rsidR="00716DED">
        <w:rPr>
          <w:rFonts w:ascii="Arial" w:hAnsi="Arial" w:cs="Arial"/>
        </w:rPr>
        <w:t xml:space="preserve"> til at samarbeid</w:t>
      </w:r>
      <w:r>
        <w:rPr>
          <w:rFonts w:ascii="Arial" w:hAnsi="Arial" w:cs="Arial"/>
        </w:rPr>
        <w:t>et</w:t>
      </w:r>
      <w:r w:rsidR="00716DED">
        <w:rPr>
          <w:rFonts w:ascii="Arial" w:hAnsi="Arial" w:cs="Arial"/>
        </w:rPr>
        <w:t xml:space="preserve"> mellom MUSIT og USIT har blitt bedre og mer forutsigbart. </w:t>
      </w:r>
    </w:p>
    <w:p w:rsidR="00716DED" w:rsidRDefault="00716DED" w:rsidP="00A9778F">
      <w:pPr>
        <w:spacing w:after="0"/>
        <w:rPr>
          <w:rFonts w:ascii="Arial" w:hAnsi="Arial" w:cs="Arial"/>
        </w:rPr>
      </w:pPr>
    </w:p>
    <w:p w:rsidR="00E139AC" w:rsidRDefault="005575DA" w:rsidP="005575DA">
      <w:pPr>
        <w:tabs>
          <w:tab w:val="left" w:pos="119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17DCC">
        <w:rPr>
          <w:rFonts w:ascii="Arial" w:hAnsi="Arial" w:cs="Arial"/>
        </w:rPr>
        <w:t xml:space="preserve">il tross for </w:t>
      </w:r>
      <w:r>
        <w:rPr>
          <w:rFonts w:ascii="Arial" w:hAnsi="Arial" w:cs="Arial"/>
        </w:rPr>
        <w:t xml:space="preserve">alle </w:t>
      </w:r>
      <w:r w:rsidR="00E17DCC">
        <w:rPr>
          <w:rFonts w:ascii="Arial" w:hAnsi="Arial" w:cs="Arial"/>
        </w:rPr>
        <w:t>forsinkelser</w:t>
      </w:r>
      <w:r>
        <w:rPr>
          <w:rFonts w:ascii="Arial" w:hAnsi="Arial" w:cs="Arial"/>
        </w:rPr>
        <w:t xml:space="preserve"> og</w:t>
      </w:r>
      <w:r w:rsidR="00E17DCC">
        <w:rPr>
          <w:rFonts w:ascii="Arial" w:hAnsi="Arial" w:cs="Arial"/>
        </w:rPr>
        <w:t xml:space="preserve"> uventede</w:t>
      </w:r>
      <w:r>
        <w:rPr>
          <w:rFonts w:ascii="Arial" w:hAnsi="Arial" w:cs="Arial"/>
        </w:rPr>
        <w:t xml:space="preserve"> hindringer er prosjektet</w:t>
      </w:r>
      <w:r w:rsidR="00E17DCC">
        <w:rPr>
          <w:rFonts w:ascii="Arial" w:hAnsi="Arial" w:cs="Arial"/>
        </w:rPr>
        <w:t xml:space="preserve"> på </w:t>
      </w:r>
      <w:r>
        <w:rPr>
          <w:rFonts w:ascii="Arial" w:hAnsi="Arial" w:cs="Arial"/>
        </w:rPr>
        <w:t>god</w:t>
      </w:r>
      <w:r w:rsidR="00E17DCC">
        <w:rPr>
          <w:rFonts w:ascii="Arial" w:hAnsi="Arial" w:cs="Arial"/>
        </w:rPr>
        <w:t xml:space="preserve"> vei mot </w:t>
      </w:r>
      <w:r>
        <w:rPr>
          <w:rFonts w:ascii="Arial" w:hAnsi="Arial" w:cs="Arial"/>
        </w:rPr>
        <w:t>oppnåelse av</w:t>
      </w:r>
      <w:r w:rsidR="00E17DCC">
        <w:rPr>
          <w:rFonts w:ascii="Arial" w:hAnsi="Arial" w:cs="Arial"/>
        </w:rPr>
        <w:t xml:space="preserve"> hovedmål</w:t>
      </w:r>
      <w:r>
        <w:rPr>
          <w:rFonts w:ascii="Arial" w:hAnsi="Arial" w:cs="Arial"/>
        </w:rPr>
        <w:t>et,</w:t>
      </w:r>
      <w:r w:rsidR="00E17D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="00E17DCC">
        <w:rPr>
          <w:rFonts w:ascii="Arial" w:hAnsi="Arial" w:cs="Arial"/>
        </w:rPr>
        <w:t xml:space="preserve">åde </w:t>
      </w:r>
      <w:r>
        <w:rPr>
          <w:rFonts w:ascii="Arial" w:hAnsi="Arial" w:cs="Arial"/>
        </w:rPr>
        <w:t xml:space="preserve">med tanke på </w:t>
      </w:r>
      <w:r w:rsidR="00E17DCC">
        <w:rPr>
          <w:rFonts w:ascii="Arial" w:hAnsi="Arial" w:cs="Arial"/>
        </w:rPr>
        <w:t>organis</w:t>
      </w:r>
      <w:r>
        <w:rPr>
          <w:rFonts w:ascii="Arial" w:hAnsi="Arial" w:cs="Arial"/>
        </w:rPr>
        <w:t>ering</w:t>
      </w:r>
      <w:r w:rsidR="00E17DCC">
        <w:rPr>
          <w:rFonts w:ascii="Arial" w:hAnsi="Arial" w:cs="Arial"/>
        </w:rPr>
        <w:t>, arbeidsmeto</w:t>
      </w:r>
      <w:r>
        <w:rPr>
          <w:rFonts w:ascii="Arial" w:hAnsi="Arial" w:cs="Arial"/>
        </w:rPr>
        <w:t>de</w:t>
      </w:r>
      <w:r w:rsidR="00E17DCC">
        <w:rPr>
          <w:rFonts w:ascii="Arial" w:hAnsi="Arial" w:cs="Arial"/>
        </w:rPr>
        <w:t xml:space="preserve"> og </w:t>
      </w:r>
      <w:r>
        <w:rPr>
          <w:rFonts w:ascii="Arial" w:hAnsi="Arial" w:cs="Arial"/>
        </w:rPr>
        <w:t>teknisk løsning</w:t>
      </w:r>
      <w:r w:rsidR="00E17DCC">
        <w:rPr>
          <w:rFonts w:ascii="Arial" w:hAnsi="Arial" w:cs="Arial"/>
        </w:rPr>
        <w:t xml:space="preserve">. </w:t>
      </w:r>
    </w:p>
    <w:p w:rsidR="006A442D" w:rsidRDefault="006A442D" w:rsidP="005575DA">
      <w:pPr>
        <w:tabs>
          <w:tab w:val="left" w:pos="1198"/>
        </w:tabs>
        <w:spacing w:after="0"/>
        <w:rPr>
          <w:rFonts w:ascii="Arial" w:hAnsi="Arial" w:cs="Arial"/>
        </w:rPr>
      </w:pPr>
    </w:p>
    <w:p w:rsidR="006A442D" w:rsidRDefault="006A442D" w:rsidP="005575DA">
      <w:pPr>
        <w:tabs>
          <w:tab w:val="left" w:pos="1198"/>
        </w:tabs>
        <w:spacing w:after="0"/>
        <w:rPr>
          <w:rFonts w:ascii="Arial" w:hAnsi="Arial" w:cs="Arial"/>
        </w:rPr>
      </w:pPr>
    </w:p>
    <w:p w:rsidR="006A442D" w:rsidRDefault="006A442D" w:rsidP="005575DA">
      <w:pPr>
        <w:tabs>
          <w:tab w:val="left" w:pos="1198"/>
        </w:tabs>
        <w:spacing w:after="0"/>
        <w:rPr>
          <w:rFonts w:ascii="Arial" w:hAnsi="Arial" w:cs="Arial"/>
        </w:rPr>
      </w:pPr>
    </w:p>
    <w:p w:rsidR="007F100E" w:rsidRPr="00FE0FD9" w:rsidRDefault="007F100E" w:rsidP="00FE0FD9">
      <w:pPr>
        <w:spacing w:after="0"/>
        <w:rPr>
          <w:rFonts w:ascii="Arial" w:hAnsi="Arial" w:cs="Arial"/>
        </w:rPr>
      </w:pPr>
    </w:p>
    <w:p w:rsidR="007F100E" w:rsidRDefault="007F100E" w:rsidP="007F100E">
      <w:pPr>
        <w:pStyle w:val="Heading2"/>
        <w:keepLines/>
        <w:numPr>
          <w:ilvl w:val="0"/>
          <w:numId w:val="1"/>
        </w:numPr>
        <w:spacing w:after="0" w:line="276" w:lineRule="auto"/>
        <w:ind w:left="360" w:hanging="360"/>
        <w:rPr>
          <w:rFonts w:asciiTheme="majorHAnsi" w:eastAsiaTheme="majorEastAsia" w:hAnsiTheme="majorHAnsi" w:cstheme="majorBidi"/>
          <w:bCs/>
          <w:color w:val="4F81BD" w:themeColor="accent1"/>
          <w:kern w:val="0"/>
          <w:sz w:val="26"/>
          <w:szCs w:val="26"/>
          <w:lang w:eastAsia="zh-CN"/>
        </w:rPr>
      </w:pPr>
      <w:r w:rsidRPr="00F15CDE">
        <w:rPr>
          <w:rFonts w:asciiTheme="majorHAnsi" w:eastAsiaTheme="majorEastAsia" w:hAnsiTheme="majorHAnsi" w:cstheme="majorBidi"/>
          <w:bCs/>
          <w:color w:val="4F81BD" w:themeColor="accent1"/>
          <w:kern w:val="0"/>
          <w:sz w:val="26"/>
          <w:szCs w:val="26"/>
          <w:lang w:eastAsia="zh-CN"/>
        </w:rPr>
        <w:lastRenderedPageBreak/>
        <w:t>Mål</w:t>
      </w:r>
    </w:p>
    <w:p w:rsidR="007F100E" w:rsidRDefault="007F100E" w:rsidP="007F100E">
      <w:pPr>
        <w:spacing w:after="0"/>
        <w:rPr>
          <w:rFonts w:ascii="Arial" w:hAnsi="Arial" w:cs="Arial"/>
        </w:rPr>
      </w:pPr>
      <w:r w:rsidRPr="0000141F">
        <w:rPr>
          <w:rFonts w:ascii="Arial" w:hAnsi="Arial" w:cs="Arial"/>
        </w:rPr>
        <w:t xml:space="preserve">Pilotens formål </w:t>
      </w:r>
      <w:r>
        <w:rPr>
          <w:rFonts w:ascii="Arial" w:hAnsi="Arial" w:cs="Arial"/>
        </w:rPr>
        <w:t>har vært</w:t>
      </w:r>
      <w:r w:rsidRPr="0000141F">
        <w:rPr>
          <w:rFonts w:ascii="Arial" w:hAnsi="Arial" w:cs="Arial"/>
        </w:rPr>
        <w:t xml:space="preserve"> å verifisere ny arkitektur gjennom implementasjon av en valgt modul, samt legge et grunnlag for estimering og planlegging av hovedprosjektet.</w:t>
      </w:r>
    </w:p>
    <w:p w:rsidR="007F100E" w:rsidRPr="0000141F" w:rsidRDefault="007F100E" w:rsidP="007F100E">
      <w:pPr>
        <w:spacing w:after="0"/>
        <w:rPr>
          <w:rFonts w:ascii="Arial" w:hAnsi="Arial" w:cs="Arial"/>
        </w:rPr>
      </w:pPr>
    </w:p>
    <w:tbl>
      <w:tblPr>
        <w:tblW w:w="4838" w:type="pct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1639"/>
        <w:gridCol w:w="2619"/>
        <w:gridCol w:w="2249"/>
        <w:gridCol w:w="2436"/>
      </w:tblGrid>
      <w:tr w:rsidR="007F100E" w:rsidRPr="00215E7D" w:rsidTr="005B73FA">
        <w:trPr>
          <w:trHeight w:val="410"/>
        </w:trPr>
        <w:tc>
          <w:tcPr>
            <w:tcW w:w="660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A6A6A6" w:themeFill="background1" w:themeFillShade="A6"/>
          </w:tcPr>
          <w:p w:rsidR="007F100E" w:rsidRPr="00215E7D" w:rsidRDefault="007F100E" w:rsidP="005B73FA">
            <w:pPr>
              <w:keepNext/>
              <w:rPr>
                <w:rFonts w:ascii="Arial" w:hAnsi="Arial" w:cs="Arial"/>
                <w:bCs/>
                <w:color w:val="FFFFFF"/>
                <w:sz w:val="20"/>
              </w:rPr>
            </w:pPr>
            <w:r w:rsidRPr="00215E7D">
              <w:rPr>
                <w:rFonts w:ascii="Arial" w:hAnsi="Arial" w:cs="Arial"/>
                <w:bCs/>
                <w:color w:val="FFFFFF"/>
                <w:sz w:val="20"/>
              </w:rPr>
              <w:t>Nivå</w:t>
            </w:r>
          </w:p>
        </w:tc>
        <w:tc>
          <w:tcPr>
            <w:tcW w:w="1550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A6A6A6" w:themeFill="background1" w:themeFillShade="A6"/>
            <w:hideMark/>
          </w:tcPr>
          <w:p w:rsidR="007F100E" w:rsidRPr="00215E7D" w:rsidRDefault="007F100E" w:rsidP="005B73FA">
            <w:pPr>
              <w:keepNext/>
              <w:rPr>
                <w:rFonts w:ascii="Arial" w:hAnsi="Arial" w:cs="Arial"/>
                <w:bCs/>
                <w:color w:val="FFFFFF"/>
                <w:sz w:val="20"/>
              </w:rPr>
            </w:pPr>
            <w:r w:rsidRPr="00215E7D">
              <w:rPr>
                <w:rFonts w:ascii="Arial" w:hAnsi="Arial" w:cs="Arial"/>
                <w:bCs/>
                <w:color w:val="FFFFFF"/>
                <w:sz w:val="20"/>
              </w:rPr>
              <w:t>Beskrivelse</w:t>
            </w:r>
          </w:p>
        </w:tc>
        <w:tc>
          <w:tcPr>
            <w:tcW w:w="134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A6A6A6" w:themeFill="background1" w:themeFillShade="A6"/>
          </w:tcPr>
          <w:p w:rsidR="007F100E" w:rsidRPr="00215E7D" w:rsidRDefault="007F100E" w:rsidP="005B73FA">
            <w:pPr>
              <w:keepNext/>
              <w:rPr>
                <w:rFonts w:ascii="Arial" w:hAnsi="Arial" w:cs="Arial"/>
                <w:bCs/>
                <w:color w:val="FFFFFF"/>
                <w:sz w:val="20"/>
              </w:rPr>
            </w:pPr>
            <w:r w:rsidRPr="00215E7D">
              <w:rPr>
                <w:rFonts w:ascii="Arial" w:hAnsi="Arial" w:cs="Arial"/>
                <w:bCs/>
                <w:color w:val="FFFFFF"/>
                <w:sz w:val="20"/>
              </w:rPr>
              <w:t>Suksesskriterier</w:t>
            </w:r>
          </w:p>
        </w:tc>
        <w:tc>
          <w:tcPr>
            <w:tcW w:w="144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A6A6A6" w:themeFill="background1" w:themeFillShade="A6"/>
          </w:tcPr>
          <w:p w:rsidR="007F100E" w:rsidRPr="00215E7D" w:rsidRDefault="007F100E" w:rsidP="005B73FA">
            <w:pPr>
              <w:keepNext/>
              <w:rPr>
                <w:rFonts w:ascii="Arial" w:hAnsi="Arial" w:cs="Arial"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Cs/>
                <w:color w:val="FFFFFF"/>
                <w:sz w:val="20"/>
              </w:rPr>
              <w:t>Oppnåelse</w:t>
            </w:r>
          </w:p>
        </w:tc>
      </w:tr>
      <w:tr w:rsidR="007F100E" w:rsidRPr="00215E7D" w:rsidTr="005B73FA">
        <w:trPr>
          <w:trHeight w:val="307"/>
        </w:trPr>
        <w:tc>
          <w:tcPr>
            <w:tcW w:w="660" w:type="pct"/>
            <w:vMerge w:val="restart"/>
            <w:tcBorders>
              <w:top w:val="single" w:sz="4" w:space="0" w:color="84929B"/>
              <w:left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rPr>
                <w:rFonts w:ascii="Arial" w:hAnsi="Arial" w:cs="Arial"/>
                <w:sz w:val="20"/>
              </w:rPr>
            </w:pPr>
            <w:r w:rsidRPr="00215E7D">
              <w:rPr>
                <w:rFonts w:ascii="Arial" w:hAnsi="Arial" w:cs="Arial"/>
                <w:sz w:val="20"/>
              </w:rPr>
              <w:t>Virksomhetsmål</w:t>
            </w:r>
          </w:p>
        </w:tc>
        <w:tc>
          <w:tcPr>
            <w:tcW w:w="1550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rPr>
                <w:rFonts w:ascii="Arial" w:hAnsi="Arial" w:cs="Arial"/>
                <w:sz w:val="20"/>
              </w:rPr>
            </w:pPr>
            <w:r w:rsidRPr="00215E7D">
              <w:rPr>
                <w:rFonts w:ascii="Arial" w:hAnsi="Arial" w:cs="Arial"/>
                <w:sz w:val="20"/>
              </w:rPr>
              <w:t>Få mest mulig ut av bevilgninger til systemportefølje for samlingsforvaltningen.</w:t>
            </w:r>
          </w:p>
        </w:tc>
        <w:tc>
          <w:tcPr>
            <w:tcW w:w="134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pStyle w:val="Default"/>
              <w:rPr>
                <w:color w:val="auto"/>
                <w:sz w:val="20"/>
                <w:szCs w:val="22"/>
              </w:rPr>
            </w:pPr>
            <w:r w:rsidRPr="00215E7D">
              <w:rPr>
                <w:color w:val="auto"/>
                <w:sz w:val="20"/>
                <w:szCs w:val="22"/>
              </w:rPr>
              <w:t>En mer effektiv leveransemodell mellom MUSIT og universitetsmuseene må på plass.</w:t>
            </w:r>
          </w:p>
        </w:tc>
        <w:tc>
          <w:tcPr>
            <w:tcW w:w="144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pStyle w:val="Default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Gjennom piloten er det lagt et godt grunnlag for å oppfylle dette målet.</w:t>
            </w:r>
          </w:p>
        </w:tc>
      </w:tr>
      <w:tr w:rsidR="007F100E" w:rsidRPr="00215E7D" w:rsidTr="005B73FA">
        <w:trPr>
          <w:trHeight w:val="301"/>
        </w:trPr>
        <w:tc>
          <w:tcPr>
            <w:tcW w:w="660" w:type="pct"/>
            <w:vMerge/>
            <w:tcBorders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pStyle w:val="Default"/>
              <w:rPr>
                <w:color w:val="auto"/>
                <w:sz w:val="20"/>
                <w:szCs w:val="22"/>
              </w:rPr>
            </w:pPr>
            <w:r w:rsidRPr="00215E7D">
              <w:rPr>
                <w:color w:val="auto"/>
                <w:sz w:val="20"/>
                <w:szCs w:val="22"/>
              </w:rPr>
              <w:t xml:space="preserve">Sørge for en systemportefølje som støtter opp under felles arbeidsprosesser for samlingsforvaltning og gjør informasjonskilder tilgjengelige. </w:t>
            </w:r>
          </w:p>
        </w:tc>
        <w:tc>
          <w:tcPr>
            <w:tcW w:w="134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pStyle w:val="Default"/>
              <w:rPr>
                <w:color w:val="auto"/>
                <w:sz w:val="20"/>
                <w:szCs w:val="22"/>
              </w:rPr>
            </w:pPr>
            <w:r w:rsidRPr="00215E7D">
              <w:rPr>
                <w:color w:val="auto"/>
                <w:sz w:val="20"/>
                <w:szCs w:val="22"/>
              </w:rPr>
              <w:t xml:space="preserve">Detaljering av virksomhetsanalysen, felles porteføljeanalyse. Skal føre til en mer samordnet porteføljestyring. </w:t>
            </w:r>
          </w:p>
        </w:tc>
        <w:tc>
          <w:tcPr>
            <w:tcW w:w="144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pStyle w:val="Default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Gjennom piloten er det lagt et godt grunnlag for å oppfylle dette målet.</w:t>
            </w:r>
          </w:p>
        </w:tc>
      </w:tr>
      <w:tr w:rsidR="007F100E" w:rsidRPr="00215E7D" w:rsidTr="005B73FA">
        <w:trPr>
          <w:trHeight w:val="301"/>
        </w:trPr>
        <w:tc>
          <w:tcPr>
            <w:tcW w:w="660" w:type="pct"/>
            <w:vMerge w:val="restart"/>
            <w:tcBorders>
              <w:top w:val="single" w:sz="4" w:space="0" w:color="84929B"/>
              <w:left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rPr>
                <w:rFonts w:ascii="Arial" w:hAnsi="Arial" w:cs="Arial"/>
                <w:sz w:val="20"/>
              </w:rPr>
            </w:pPr>
            <w:r w:rsidRPr="00215E7D">
              <w:rPr>
                <w:rFonts w:ascii="Arial" w:hAnsi="Arial" w:cs="Arial"/>
                <w:sz w:val="20"/>
              </w:rPr>
              <w:t>Effektmål</w:t>
            </w:r>
          </w:p>
        </w:tc>
        <w:tc>
          <w:tcPr>
            <w:tcW w:w="1550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pStyle w:val="Default"/>
              <w:rPr>
                <w:color w:val="auto"/>
                <w:sz w:val="20"/>
                <w:szCs w:val="22"/>
              </w:rPr>
            </w:pPr>
            <w:r w:rsidRPr="00215E7D">
              <w:rPr>
                <w:color w:val="auto"/>
                <w:sz w:val="20"/>
                <w:szCs w:val="22"/>
              </w:rPr>
              <w:t>En mer endringsvennlig arkitektur som gjør det mulig å levere endringer og ny funksjonalitet raskere enn i dag.</w:t>
            </w:r>
          </w:p>
        </w:tc>
        <w:tc>
          <w:tcPr>
            <w:tcW w:w="134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pStyle w:val="Default"/>
              <w:rPr>
                <w:color w:val="auto"/>
                <w:sz w:val="20"/>
                <w:szCs w:val="22"/>
              </w:rPr>
            </w:pPr>
            <w:r w:rsidRPr="00215E7D">
              <w:rPr>
                <w:color w:val="auto"/>
                <w:sz w:val="20"/>
                <w:szCs w:val="22"/>
              </w:rPr>
              <w:t xml:space="preserve">Detaljering av virksomhetsanalysen og en teknisk arkitektur som bygger opp under prinsippet om lav kobling og høy kohesjon. </w:t>
            </w:r>
          </w:p>
        </w:tc>
        <w:tc>
          <w:tcPr>
            <w:tcW w:w="144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pStyle w:val="Default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Magasinet er implementert med lav kobling og høy kohesjon, og danner dermed et godt grunnlag for oppfyllelse av målet.</w:t>
            </w:r>
          </w:p>
        </w:tc>
      </w:tr>
      <w:tr w:rsidR="007F100E" w:rsidRPr="00215E7D" w:rsidTr="005B73FA">
        <w:trPr>
          <w:trHeight w:val="131"/>
        </w:trPr>
        <w:tc>
          <w:tcPr>
            <w:tcW w:w="660" w:type="pct"/>
            <w:vMerge/>
            <w:tcBorders>
              <w:left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pStyle w:val="Default"/>
              <w:rPr>
                <w:color w:val="auto"/>
                <w:sz w:val="20"/>
                <w:szCs w:val="22"/>
              </w:rPr>
            </w:pPr>
            <w:r w:rsidRPr="00215E7D">
              <w:rPr>
                <w:color w:val="auto"/>
                <w:sz w:val="20"/>
                <w:szCs w:val="22"/>
              </w:rPr>
              <w:t xml:space="preserve">Sørge for større dekning av forretningskritisk funksjonalitet. </w:t>
            </w:r>
          </w:p>
        </w:tc>
        <w:tc>
          <w:tcPr>
            <w:tcW w:w="134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pStyle w:val="Default"/>
              <w:rPr>
                <w:color w:val="auto"/>
                <w:sz w:val="20"/>
                <w:szCs w:val="22"/>
              </w:rPr>
            </w:pPr>
            <w:r w:rsidRPr="00215E7D">
              <w:rPr>
                <w:color w:val="auto"/>
                <w:sz w:val="20"/>
                <w:szCs w:val="22"/>
              </w:rPr>
              <w:t xml:space="preserve">Detaljering av virksomhetsanalysen og omforent kost-/nytteanalyse. </w:t>
            </w:r>
          </w:p>
        </w:tc>
        <w:tc>
          <w:tcPr>
            <w:tcW w:w="144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pStyle w:val="Default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Referansegruppen for magasin har vurdert funksjonalitet opp mot museenes behov.</w:t>
            </w:r>
          </w:p>
        </w:tc>
      </w:tr>
      <w:tr w:rsidR="007F100E" w:rsidRPr="00215E7D" w:rsidTr="005B73FA">
        <w:trPr>
          <w:trHeight w:val="131"/>
        </w:trPr>
        <w:tc>
          <w:tcPr>
            <w:tcW w:w="660" w:type="pct"/>
            <w:vMerge/>
            <w:tcBorders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pStyle w:val="Default"/>
              <w:rPr>
                <w:color w:val="auto"/>
                <w:sz w:val="20"/>
                <w:szCs w:val="22"/>
              </w:rPr>
            </w:pPr>
            <w:r w:rsidRPr="00215E7D">
              <w:rPr>
                <w:color w:val="auto"/>
                <w:sz w:val="20"/>
                <w:szCs w:val="22"/>
              </w:rPr>
              <w:t>En systemportefølje med mest mulig felles funksjonalitet på tvers av fagområdene.</w:t>
            </w:r>
          </w:p>
        </w:tc>
        <w:tc>
          <w:tcPr>
            <w:tcW w:w="134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pStyle w:val="Default"/>
              <w:rPr>
                <w:color w:val="auto"/>
                <w:sz w:val="20"/>
                <w:szCs w:val="22"/>
              </w:rPr>
            </w:pPr>
            <w:r w:rsidRPr="00215E7D">
              <w:rPr>
                <w:color w:val="auto"/>
                <w:sz w:val="20"/>
                <w:szCs w:val="22"/>
              </w:rPr>
              <w:t>Detaljering av virksomhetsanalysen og omforent prioritering.</w:t>
            </w:r>
          </w:p>
        </w:tc>
        <w:tc>
          <w:tcPr>
            <w:tcW w:w="144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pStyle w:val="Default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 xml:space="preserve">Funksjonaliteten i magasinet er i sin helhet felles for alle fagområdene. </w:t>
            </w:r>
          </w:p>
        </w:tc>
      </w:tr>
      <w:tr w:rsidR="007F100E" w:rsidRPr="00215E7D" w:rsidTr="005B73FA">
        <w:trPr>
          <w:trHeight w:val="131"/>
        </w:trPr>
        <w:tc>
          <w:tcPr>
            <w:tcW w:w="660" w:type="pct"/>
            <w:vMerge/>
            <w:tcBorders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pStyle w:val="Default"/>
              <w:rPr>
                <w:color w:val="auto"/>
                <w:sz w:val="20"/>
                <w:szCs w:val="22"/>
              </w:rPr>
            </w:pPr>
            <w:r w:rsidRPr="00215E7D">
              <w:rPr>
                <w:color w:val="auto"/>
                <w:sz w:val="20"/>
                <w:szCs w:val="22"/>
              </w:rPr>
              <w:t xml:space="preserve">Følge IKT-politiske føringer og arkitekturprinsipper. </w:t>
            </w:r>
          </w:p>
        </w:tc>
        <w:tc>
          <w:tcPr>
            <w:tcW w:w="134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pStyle w:val="Default"/>
              <w:rPr>
                <w:color w:val="auto"/>
                <w:sz w:val="20"/>
                <w:szCs w:val="22"/>
              </w:rPr>
            </w:pPr>
            <w:r w:rsidRPr="00215E7D">
              <w:rPr>
                <w:color w:val="auto"/>
                <w:sz w:val="20"/>
                <w:szCs w:val="22"/>
              </w:rPr>
              <w:t xml:space="preserve">Gjøre valg i IT-arkitekturen og implementasjon av applikasjoner i lys av føringer og prinsipper som gjelder. </w:t>
            </w:r>
          </w:p>
        </w:tc>
        <w:tc>
          <w:tcPr>
            <w:tcW w:w="144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pStyle w:val="Default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Den nye løsningen er implementert ihht IKT-politiske føringer og arkitekturprinsipper.</w:t>
            </w:r>
          </w:p>
        </w:tc>
      </w:tr>
      <w:tr w:rsidR="007F100E" w:rsidRPr="00215E7D" w:rsidTr="005B73FA">
        <w:trPr>
          <w:trHeight w:val="131"/>
        </w:trPr>
        <w:tc>
          <w:tcPr>
            <w:tcW w:w="660" w:type="pct"/>
            <w:vMerge w:val="restart"/>
            <w:tcBorders>
              <w:top w:val="single" w:sz="4" w:space="0" w:color="84929B"/>
              <w:left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rPr>
                <w:rFonts w:ascii="Arial" w:hAnsi="Arial" w:cs="Arial"/>
                <w:sz w:val="20"/>
              </w:rPr>
            </w:pPr>
            <w:r w:rsidRPr="00215E7D">
              <w:rPr>
                <w:rFonts w:ascii="Arial" w:hAnsi="Arial" w:cs="Arial"/>
                <w:sz w:val="20"/>
              </w:rPr>
              <w:t>Resultatmål</w:t>
            </w:r>
          </w:p>
        </w:tc>
        <w:tc>
          <w:tcPr>
            <w:tcW w:w="1550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pStyle w:val="Default"/>
              <w:rPr>
                <w:color w:val="auto"/>
                <w:sz w:val="20"/>
                <w:szCs w:val="22"/>
              </w:rPr>
            </w:pPr>
            <w:r w:rsidRPr="00215E7D">
              <w:rPr>
                <w:color w:val="auto"/>
                <w:sz w:val="20"/>
                <w:szCs w:val="22"/>
              </w:rPr>
              <w:t>Ny magasinløsning som verifiserer ny IT-arkitektur er implementert og verifisert slik at den er klar for bruk innen Q3 2016.</w:t>
            </w:r>
          </w:p>
        </w:tc>
        <w:tc>
          <w:tcPr>
            <w:tcW w:w="134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pStyle w:val="Default"/>
              <w:rPr>
                <w:color w:val="auto"/>
                <w:sz w:val="20"/>
                <w:szCs w:val="22"/>
              </w:rPr>
            </w:pPr>
            <w:r w:rsidRPr="00215E7D">
              <w:rPr>
                <w:color w:val="auto"/>
                <w:sz w:val="20"/>
                <w:szCs w:val="22"/>
              </w:rPr>
              <w:t>Fagpersonale, drifts- og utviklingsressurser tilgjengelig for prosjektet.</w:t>
            </w:r>
          </w:p>
        </w:tc>
        <w:tc>
          <w:tcPr>
            <w:tcW w:w="144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pStyle w:val="Default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Ny magasinløsning levert og tatt i bruk, men kraftig forsinket.</w:t>
            </w:r>
          </w:p>
        </w:tc>
      </w:tr>
      <w:tr w:rsidR="007F100E" w:rsidRPr="00215E7D" w:rsidTr="005B73FA">
        <w:trPr>
          <w:trHeight w:val="131"/>
        </w:trPr>
        <w:tc>
          <w:tcPr>
            <w:tcW w:w="660" w:type="pct"/>
            <w:vMerge/>
            <w:tcBorders>
              <w:left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pStyle w:val="Default"/>
              <w:rPr>
                <w:color w:val="auto"/>
                <w:sz w:val="20"/>
                <w:szCs w:val="22"/>
              </w:rPr>
            </w:pPr>
            <w:r w:rsidRPr="00215E7D">
              <w:rPr>
                <w:color w:val="auto"/>
                <w:sz w:val="20"/>
                <w:szCs w:val="22"/>
              </w:rPr>
              <w:t>Ny leveransemodell og arbeidsmetodikk verifisert innen Q3 2016.</w:t>
            </w:r>
          </w:p>
        </w:tc>
        <w:tc>
          <w:tcPr>
            <w:tcW w:w="134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pStyle w:val="Default"/>
              <w:rPr>
                <w:color w:val="auto"/>
                <w:sz w:val="20"/>
                <w:szCs w:val="22"/>
              </w:rPr>
            </w:pPr>
            <w:r w:rsidRPr="00215E7D">
              <w:rPr>
                <w:color w:val="auto"/>
                <w:sz w:val="20"/>
                <w:szCs w:val="22"/>
              </w:rPr>
              <w:t>Relevante ressurser holdes informert, implementering følges opp i prosjektet og av MUSIT.</w:t>
            </w:r>
          </w:p>
        </w:tc>
        <w:tc>
          <w:tcPr>
            <w:tcW w:w="144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pStyle w:val="Default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Ny leveransemodell og arbeidsmetodikk innført, men det vil være løpende justeringer.</w:t>
            </w:r>
          </w:p>
        </w:tc>
      </w:tr>
      <w:tr w:rsidR="007F100E" w:rsidRPr="00215E7D" w:rsidTr="005B73FA">
        <w:trPr>
          <w:trHeight w:val="131"/>
        </w:trPr>
        <w:tc>
          <w:tcPr>
            <w:tcW w:w="660" w:type="pct"/>
            <w:vMerge/>
            <w:tcBorders>
              <w:left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pStyle w:val="Default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Implementerte sikkerhetsmekanismer i henhold til UH-sektorens arkitekturprinsipper og føringer ved USIT.</w:t>
            </w:r>
          </w:p>
        </w:tc>
        <w:tc>
          <w:tcPr>
            <w:tcW w:w="134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pStyle w:val="Default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Innspill og deltakelse fra driftsressurs, fokus på sikkerhet i implementasjon av arkitekturen.</w:t>
            </w:r>
          </w:p>
        </w:tc>
        <w:tc>
          <w:tcPr>
            <w:tcW w:w="144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Default="007F100E" w:rsidP="005B73FA">
            <w:pPr>
              <w:pStyle w:val="Default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Sikkerhetsmekanismene i den ny løsningen er implementert ihht UH-sektorens arkitekturprinsipper og føringer ved USIT.</w:t>
            </w:r>
          </w:p>
        </w:tc>
      </w:tr>
    </w:tbl>
    <w:p w:rsidR="007F100E" w:rsidRDefault="007F100E" w:rsidP="007F100E"/>
    <w:p w:rsidR="007F100E" w:rsidRPr="00F15CDE" w:rsidRDefault="007F100E" w:rsidP="007F100E">
      <w:pPr>
        <w:pStyle w:val="Heading2"/>
        <w:keepLines/>
        <w:numPr>
          <w:ilvl w:val="0"/>
          <w:numId w:val="1"/>
        </w:numPr>
        <w:spacing w:after="0" w:line="276" w:lineRule="auto"/>
        <w:ind w:left="360" w:hanging="360"/>
        <w:rPr>
          <w:rFonts w:asciiTheme="majorHAnsi" w:eastAsiaTheme="majorEastAsia" w:hAnsiTheme="majorHAnsi" w:cstheme="majorBidi"/>
          <w:bCs/>
          <w:color w:val="4F81BD" w:themeColor="accent1"/>
          <w:kern w:val="0"/>
          <w:sz w:val="26"/>
          <w:szCs w:val="26"/>
          <w:lang w:eastAsia="zh-CN"/>
        </w:rPr>
      </w:pPr>
      <w:bookmarkStart w:id="1" w:name="_Toc445739863"/>
      <w:r>
        <w:rPr>
          <w:rFonts w:asciiTheme="majorHAnsi" w:eastAsiaTheme="majorEastAsia" w:hAnsiTheme="majorHAnsi" w:cstheme="majorBidi"/>
          <w:bCs/>
          <w:color w:val="4F81BD" w:themeColor="accent1"/>
          <w:kern w:val="0"/>
          <w:sz w:val="26"/>
          <w:szCs w:val="26"/>
          <w:lang w:eastAsia="zh-CN"/>
        </w:rPr>
        <w:lastRenderedPageBreak/>
        <w:t>Pilotens</w:t>
      </w:r>
      <w:r w:rsidRPr="00F15CDE">
        <w:rPr>
          <w:rFonts w:asciiTheme="majorHAnsi" w:eastAsiaTheme="majorEastAsia" w:hAnsiTheme="majorHAnsi" w:cstheme="majorBidi"/>
          <w:bCs/>
          <w:color w:val="4F81BD" w:themeColor="accent1"/>
          <w:kern w:val="0"/>
          <w:sz w:val="26"/>
          <w:szCs w:val="26"/>
          <w:lang w:eastAsia="zh-CN"/>
        </w:rPr>
        <w:t xml:space="preserve"> leveranser</w:t>
      </w:r>
      <w:bookmarkEnd w:id="1"/>
    </w:p>
    <w:p w:rsidR="007F100E" w:rsidRPr="00A67D14" w:rsidRDefault="007F100E" w:rsidP="007F100E">
      <w:pPr>
        <w:spacing w:after="0"/>
        <w:rPr>
          <w:lang w:eastAsia="nb-NO"/>
        </w:rPr>
      </w:pPr>
    </w:p>
    <w:tbl>
      <w:tblPr>
        <w:tblW w:w="4339" w:type="pct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3585"/>
        <w:gridCol w:w="4435"/>
      </w:tblGrid>
      <w:tr w:rsidR="007F100E" w:rsidRPr="00215E7D" w:rsidTr="005B73FA">
        <w:trPr>
          <w:trHeight w:val="410"/>
        </w:trPr>
        <w:tc>
          <w:tcPr>
            <w:tcW w:w="2235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A6A6A6" w:themeFill="background1" w:themeFillShade="A6"/>
            <w:hideMark/>
          </w:tcPr>
          <w:p w:rsidR="007F100E" w:rsidRPr="00215E7D" w:rsidRDefault="007F100E" w:rsidP="005B73FA">
            <w:pPr>
              <w:keepNext/>
              <w:rPr>
                <w:rFonts w:ascii="Arial" w:hAnsi="Arial" w:cs="Arial"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Cs/>
                <w:color w:val="FFFFFF"/>
                <w:sz w:val="20"/>
              </w:rPr>
              <w:t>Leveranse</w:t>
            </w:r>
          </w:p>
        </w:tc>
        <w:tc>
          <w:tcPr>
            <w:tcW w:w="2765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A6A6A6" w:themeFill="background1" w:themeFillShade="A6"/>
          </w:tcPr>
          <w:p w:rsidR="007F100E" w:rsidRPr="00215E7D" w:rsidRDefault="007F100E" w:rsidP="005B73FA">
            <w:pPr>
              <w:keepNext/>
              <w:rPr>
                <w:rFonts w:ascii="Arial" w:hAnsi="Arial" w:cs="Arial"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Cs/>
                <w:color w:val="FFFFFF"/>
                <w:sz w:val="20"/>
              </w:rPr>
              <w:t>Status</w:t>
            </w:r>
          </w:p>
        </w:tc>
      </w:tr>
      <w:tr w:rsidR="007F100E" w:rsidRPr="00215E7D" w:rsidTr="005B73FA">
        <w:trPr>
          <w:trHeight w:val="307"/>
        </w:trPr>
        <w:tc>
          <w:tcPr>
            <w:tcW w:w="2235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A67D14" w:rsidRDefault="007F100E" w:rsidP="005B73FA">
            <w:pPr>
              <w:spacing w:after="0"/>
              <w:rPr>
                <w:rFonts w:ascii="Arial" w:eastAsia="Times New Roman" w:hAnsi="Arial" w:cs="Arial"/>
                <w:sz w:val="20"/>
                <w:lang w:eastAsia="nb-NO"/>
              </w:rPr>
            </w:pPr>
            <w:r w:rsidRPr="00A67D14">
              <w:rPr>
                <w:rFonts w:ascii="Arial" w:eastAsia="Times New Roman" w:hAnsi="Arial" w:cs="Arial"/>
                <w:sz w:val="20"/>
                <w:lang w:eastAsia="nb-NO"/>
              </w:rPr>
              <w:t>Felles magasinløsning med felles datamodell for alle fagområder</w:t>
            </w:r>
            <w:r>
              <w:rPr>
                <w:rFonts w:ascii="Arial" w:eastAsia="Times New Roman" w:hAnsi="Arial" w:cs="Arial"/>
                <w:sz w:val="20"/>
                <w:lang w:eastAsia="nb-NO"/>
              </w:rPr>
              <w:t>.</w:t>
            </w:r>
          </w:p>
        </w:tc>
        <w:tc>
          <w:tcPr>
            <w:tcW w:w="2765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pStyle w:val="Default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Levert.</w:t>
            </w:r>
          </w:p>
        </w:tc>
      </w:tr>
      <w:tr w:rsidR="007F100E" w:rsidRPr="00215E7D" w:rsidTr="005B73FA">
        <w:trPr>
          <w:trHeight w:val="301"/>
        </w:trPr>
        <w:tc>
          <w:tcPr>
            <w:tcW w:w="2235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pStyle w:val="Default"/>
              <w:rPr>
                <w:color w:val="auto"/>
                <w:sz w:val="20"/>
                <w:szCs w:val="22"/>
              </w:rPr>
            </w:pPr>
            <w:r w:rsidRPr="00A67D14">
              <w:rPr>
                <w:color w:val="auto"/>
                <w:sz w:val="20"/>
                <w:szCs w:val="22"/>
              </w:rPr>
              <w:t>Utskrift av etiketter for magasin</w:t>
            </w:r>
            <w:r>
              <w:rPr>
                <w:color w:val="auto"/>
                <w:sz w:val="20"/>
                <w:szCs w:val="22"/>
              </w:rPr>
              <w:t>.</w:t>
            </w:r>
          </w:p>
        </w:tc>
        <w:tc>
          <w:tcPr>
            <w:tcW w:w="2765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pStyle w:val="Default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Levert.</w:t>
            </w:r>
          </w:p>
        </w:tc>
      </w:tr>
      <w:tr w:rsidR="007F100E" w:rsidRPr="00215E7D" w:rsidTr="005B73FA">
        <w:trPr>
          <w:trHeight w:val="301"/>
        </w:trPr>
        <w:tc>
          <w:tcPr>
            <w:tcW w:w="2235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pStyle w:val="Default"/>
              <w:rPr>
                <w:color w:val="auto"/>
                <w:sz w:val="20"/>
                <w:szCs w:val="22"/>
              </w:rPr>
            </w:pPr>
            <w:r w:rsidRPr="00A67D14">
              <w:rPr>
                <w:color w:val="auto"/>
                <w:sz w:val="20"/>
                <w:szCs w:val="22"/>
              </w:rPr>
              <w:t>Håndtering av strekkoder/QR-koder</w:t>
            </w:r>
            <w:r>
              <w:rPr>
                <w:color w:val="auto"/>
                <w:sz w:val="20"/>
                <w:szCs w:val="22"/>
              </w:rPr>
              <w:t>.</w:t>
            </w:r>
          </w:p>
        </w:tc>
        <w:tc>
          <w:tcPr>
            <w:tcW w:w="2765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pStyle w:val="Default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Levert.</w:t>
            </w:r>
          </w:p>
        </w:tc>
      </w:tr>
      <w:tr w:rsidR="007F100E" w:rsidRPr="00215E7D" w:rsidTr="005B73FA">
        <w:trPr>
          <w:trHeight w:val="301"/>
        </w:trPr>
        <w:tc>
          <w:tcPr>
            <w:tcW w:w="2235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A67D14" w:rsidRDefault="007F100E" w:rsidP="005B73FA">
            <w:pPr>
              <w:pStyle w:val="Default"/>
              <w:rPr>
                <w:color w:val="auto"/>
                <w:sz w:val="20"/>
                <w:szCs w:val="22"/>
              </w:rPr>
            </w:pPr>
            <w:r w:rsidRPr="00701E3D">
              <w:rPr>
                <w:color w:val="auto"/>
                <w:sz w:val="20"/>
                <w:szCs w:val="22"/>
              </w:rPr>
              <w:t>Pålogging vha FEIDE</w:t>
            </w:r>
            <w:r>
              <w:rPr>
                <w:color w:val="auto"/>
                <w:sz w:val="20"/>
                <w:szCs w:val="22"/>
              </w:rPr>
              <w:t>.</w:t>
            </w:r>
          </w:p>
        </w:tc>
        <w:tc>
          <w:tcPr>
            <w:tcW w:w="2765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pStyle w:val="Default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Levert pålogging vha Dataporten.</w:t>
            </w:r>
          </w:p>
        </w:tc>
      </w:tr>
      <w:tr w:rsidR="007F100E" w:rsidRPr="00215E7D" w:rsidTr="005B73FA">
        <w:trPr>
          <w:trHeight w:val="301"/>
        </w:trPr>
        <w:tc>
          <w:tcPr>
            <w:tcW w:w="2235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701E3D" w:rsidRDefault="007F100E" w:rsidP="005B73FA">
            <w:pPr>
              <w:pStyle w:val="Default"/>
              <w:rPr>
                <w:color w:val="auto"/>
                <w:sz w:val="20"/>
                <w:szCs w:val="22"/>
              </w:rPr>
            </w:pPr>
            <w:r w:rsidRPr="00701E3D">
              <w:rPr>
                <w:color w:val="auto"/>
                <w:sz w:val="20"/>
                <w:szCs w:val="22"/>
              </w:rPr>
              <w:t>Kobling mellom eksisterende system og ny magasinmodul</w:t>
            </w:r>
            <w:r>
              <w:rPr>
                <w:color w:val="auto"/>
                <w:sz w:val="20"/>
                <w:szCs w:val="22"/>
              </w:rPr>
              <w:t>.</w:t>
            </w:r>
          </w:p>
        </w:tc>
        <w:tc>
          <w:tcPr>
            <w:tcW w:w="2765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pStyle w:val="Default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Levert.</w:t>
            </w:r>
          </w:p>
        </w:tc>
      </w:tr>
      <w:tr w:rsidR="007F100E" w:rsidRPr="00215E7D" w:rsidTr="005B73FA">
        <w:trPr>
          <w:trHeight w:val="301"/>
        </w:trPr>
        <w:tc>
          <w:tcPr>
            <w:tcW w:w="2235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701E3D" w:rsidRDefault="007F100E" w:rsidP="005B73FA">
            <w:pPr>
              <w:pStyle w:val="Default"/>
              <w:rPr>
                <w:color w:val="auto"/>
                <w:sz w:val="20"/>
                <w:szCs w:val="22"/>
              </w:rPr>
            </w:pPr>
            <w:r w:rsidRPr="00701E3D">
              <w:rPr>
                <w:color w:val="auto"/>
                <w:sz w:val="20"/>
                <w:szCs w:val="22"/>
              </w:rPr>
              <w:t>Ny arkitektur og teknologi verifisert</w:t>
            </w:r>
            <w:r>
              <w:rPr>
                <w:color w:val="auto"/>
                <w:sz w:val="20"/>
                <w:szCs w:val="22"/>
              </w:rPr>
              <w:t>.</w:t>
            </w:r>
          </w:p>
        </w:tc>
        <w:tc>
          <w:tcPr>
            <w:tcW w:w="2765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pStyle w:val="Default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Levert, fortløpende justeringer.</w:t>
            </w:r>
          </w:p>
        </w:tc>
      </w:tr>
      <w:tr w:rsidR="007F100E" w:rsidRPr="00215E7D" w:rsidTr="005B73FA">
        <w:trPr>
          <w:trHeight w:val="301"/>
        </w:trPr>
        <w:tc>
          <w:tcPr>
            <w:tcW w:w="2235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701E3D" w:rsidRDefault="007F100E" w:rsidP="005B73FA">
            <w:pPr>
              <w:pStyle w:val="Default"/>
              <w:rPr>
                <w:color w:val="auto"/>
                <w:sz w:val="20"/>
                <w:szCs w:val="22"/>
              </w:rPr>
            </w:pPr>
            <w:r w:rsidRPr="00701E3D">
              <w:rPr>
                <w:color w:val="auto"/>
                <w:sz w:val="20"/>
                <w:szCs w:val="22"/>
              </w:rPr>
              <w:t>Ny infrastruktur og driftsprosesser etablert</w:t>
            </w:r>
            <w:r>
              <w:rPr>
                <w:color w:val="auto"/>
                <w:sz w:val="20"/>
                <w:szCs w:val="22"/>
              </w:rPr>
              <w:t>.</w:t>
            </w:r>
          </w:p>
        </w:tc>
        <w:tc>
          <w:tcPr>
            <w:tcW w:w="2765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Default="007F100E" w:rsidP="005B73FA">
            <w:pPr>
              <w:pStyle w:val="Default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Infrastruktur levert, men det vil være fremtidige justeringer ved behov.</w:t>
            </w:r>
          </w:p>
          <w:p w:rsidR="007F100E" w:rsidRPr="00215E7D" w:rsidRDefault="007F100E" w:rsidP="005B73FA">
            <w:pPr>
              <w:pStyle w:val="Default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Driftsprosesser etablert, nytt regime for feilretting og release trenger innkjøring og tilpasning.</w:t>
            </w:r>
          </w:p>
        </w:tc>
      </w:tr>
      <w:tr w:rsidR="007F100E" w:rsidRPr="00215E7D" w:rsidTr="005B73FA">
        <w:trPr>
          <w:trHeight w:val="301"/>
        </w:trPr>
        <w:tc>
          <w:tcPr>
            <w:tcW w:w="2235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701E3D" w:rsidRDefault="007F100E" w:rsidP="005B73FA">
            <w:pPr>
              <w:pStyle w:val="Default"/>
              <w:spacing w:line="276" w:lineRule="auto"/>
              <w:rPr>
                <w:color w:val="auto"/>
                <w:sz w:val="20"/>
                <w:szCs w:val="22"/>
              </w:rPr>
            </w:pPr>
            <w:r w:rsidRPr="00701E3D">
              <w:rPr>
                <w:color w:val="auto"/>
                <w:sz w:val="20"/>
                <w:szCs w:val="22"/>
              </w:rPr>
              <w:t>Justert tids- og kostnadsramme for leveransene i hovedprosjektet</w:t>
            </w:r>
            <w:r>
              <w:rPr>
                <w:color w:val="auto"/>
                <w:sz w:val="20"/>
                <w:szCs w:val="22"/>
              </w:rPr>
              <w:t>.</w:t>
            </w:r>
          </w:p>
        </w:tc>
        <w:tc>
          <w:tcPr>
            <w:tcW w:w="2765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F100E" w:rsidRPr="00215E7D" w:rsidRDefault="007F100E" w:rsidP="005B73FA">
            <w:pPr>
              <w:pStyle w:val="Default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Ikke levert. Prosjektteamet starter planlegging av neste modul umiddelbart, øvrig planlegging er avhengig av koordineringsgruppenes prioritering.</w:t>
            </w:r>
          </w:p>
        </w:tc>
      </w:tr>
    </w:tbl>
    <w:p w:rsidR="007F100E" w:rsidRDefault="007F100E" w:rsidP="007F100E"/>
    <w:p w:rsidR="007671F1" w:rsidRDefault="00913A27"/>
    <w:p w:rsidR="00D333E1" w:rsidRDefault="00D333E1"/>
    <w:sectPr w:rsidR="00D333E1" w:rsidSect="007F100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A27" w:rsidRDefault="00913A27" w:rsidP="00A54082">
      <w:pPr>
        <w:spacing w:after="0" w:line="240" w:lineRule="auto"/>
      </w:pPr>
      <w:r>
        <w:separator/>
      </w:r>
    </w:p>
  </w:endnote>
  <w:endnote w:type="continuationSeparator" w:id="0">
    <w:p w:rsidR="00913A27" w:rsidRDefault="00913A27" w:rsidP="00A5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A54082">
      <w:tc>
        <w:tcPr>
          <w:tcW w:w="918" w:type="dxa"/>
        </w:tcPr>
        <w:p w:rsidR="00A54082" w:rsidRDefault="00A54082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974872" w:rsidRPr="00974872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A54082" w:rsidRDefault="00A54082">
          <w:pPr>
            <w:pStyle w:val="Footer"/>
          </w:pPr>
          <w:r>
            <w:t>MUSIT Ny IT-arkitektur, Sluttnotat for piloten januar 2017.</w:t>
          </w:r>
        </w:p>
      </w:tc>
    </w:tr>
  </w:tbl>
  <w:p w:rsidR="00A54082" w:rsidRDefault="00A54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A27" w:rsidRDefault="00913A27" w:rsidP="00A54082">
      <w:pPr>
        <w:spacing w:after="0" w:line="240" w:lineRule="auto"/>
      </w:pPr>
      <w:r>
        <w:separator/>
      </w:r>
    </w:p>
  </w:footnote>
  <w:footnote w:type="continuationSeparator" w:id="0">
    <w:p w:rsidR="00913A27" w:rsidRDefault="00913A27" w:rsidP="00A54082">
      <w:pPr>
        <w:spacing w:after="0" w:line="240" w:lineRule="auto"/>
      </w:pPr>
      <w:r>
        <w:continuationSeparator/>
      </w:r>
    </w:p>
  </w:footnote>
  <w:footnote w:id="1">
    <w:p w:rsidR="00DB5D4C" w:rsidRDefault="00DB5D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B5D4C">
        <w:t>https://wiki.uio.no/usit/musit/img_auth.php/2/2e/Styringsdokument_MUSIT_Ny_IT-arkitektur%2C_Pilot_v1.0.pdf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7A44F0E"/>
    <w:lvl w:ilvl="0">
      <w:start w:val="1"/>
      <w:numFmt w:val="decimal"/>
      <w:pStyle w:val="Heading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708" w:hanging="708"/>
      </w:pPr>
    </w:lvl>
    <w:lvl w:ilvl="2">
      <w:start w:val="1"/>
      <w:numFmt w:val="decimal"/>
      <w:pStyle w:val="Heading3"/>
      <w:lvlText w:val="%1.%2.%3."/>
      <w:legacy w:legacy="1" w:legacySpace="0" w:legacyIndent="708"/>
      <w:lvlJc w:val="left"/>
      <w:pPr>
        <w:ind w:left="708" w:hanging="708"/>
      </w:pPr>
    </w:lvl>
    <w:lvl w:ilvl="3">
      <w:start w:val="1"/>
      <w:numFmt w:val="decimal"/>
      <w:pStyle w:val="Heading4"/>
      <w:lvlText w:val="%1.%2.%3.%4.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pStyle w:val="Heading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Heading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Heading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Heading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750929FD"/>
    <w:multiLevelType w:val="hybridMultilevel"/>
    <w:tmpl w:val="0BC6FEBA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B5D6869"/>
    <w:multiLevelType w:val="hybridMultilevel"/>
    <w:tmpl w:val="A094EC5C"/>
    <w:lvl w:ilvl="0" w:tplc="0414000F">
      <w:start w:val="1"/>
      <w:numFmt w:val="decimal"/>
      <w:lvlText w:val="%1."/>
      <w:lvlJc w:val="left"/>
      <w:pPr>
        <w:ind w:left="780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0E"/>
    <w:rsid w:val="000A5CA3"/>
    <w:rsid w:val="000D6AC6"/>
    <w:rsid w:val="000E44FD"/>
    <w:rsid w:val="001606FE"/>
    <w:rsid w:val="00162ED8"/>
    <w:rsid w:val="0017745E"/>
    <w:rsid w:val="00186572"/>
    <w:rsid w:val="0019122B"/>
    <w:rsid w:val="00261A13"/>
    <w:rsid w:val="003257FC"/>
    <w:rsid w:val="00332748"/>
    <w:rsid w:val="003E112F"/>
    <w:rsid w:val="0040720D"/>
    <w:rsid w:val="00455466"/>
    <w:rsid w:val="0049679C"/>
    <w:rsid w:val="004B39CB"/>
    <w:rsid w:val="004E4B47"/>
    <w:rsid w:val="005009ED"/>
    <w:rsid w:val="005575DA"/>
    <w:rsid w:val="00566C39"/>
    <w:rsid w:val="0063344B"/>
    <w:rsid w:val="006638EA"/>
    <w:rsid w:val="006A442D"/>
    <w:rsid w:val="00716DED"/>
    <w:rsid w:val="007D7044"/>
    <w:rsid w:val="007F100E"/>
    <w:rsid w:val="00806836"/>
    <w:rsid w:val="00832C7A"/>
    <w:rsid w:val="0087152C"/>
    <w:rsid w:val="00913A27"/>
    <w:rsid w:val="009330D3"/>
    <w:rsid w:val="00962AE8"/>
    <w:rsid w:val="00974872"/>
    <w:rsid w:val="009B148A"/>
    <w:rsid w:val="009E4111"/>
    <w:rsid w:val="00A2409D"/>
    <w:rsid w:val="00A54082"/>
    <w:rsid w:val="00A9778F"/>
    <w:rsid w:val="00AC0915"/>
    <w:rsid w:val="00B4013B"/>
    <w:rsid w:val="00B43BB8"/>
    <w:rsid w:val="00B716F6"/>
    <w:rsid w:val="00BE67A0"/>
    <w:rsid w:val="00C07F55"/>
    <w:rsid w:val="00C24FB6"/>
    <w:rsid w:val="00D333E1"/>
    <w:rsid w:val="00D34BE6"/>
    <w:rsid w:val="00DA0AE3"/>
    <w:rsid w:val="00DB5D4C"/>
    <w:rsid w:val="00E139AC"/>
    <w:rsid w:val="00E160D1"/>
    <w:rsid w:val="00E17DCC"/>
    <w:rsid w:val="00E776E2"/>
    <w:rsid w:val="00EC6772"/>
    <w:rsid w:val="00FA15F8"/>
    <w:rsid w:val="00FB5814"/>
    <w:rsid w:val="00FD3972"/>
    <w:rsid w:val="00F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BDE3F-97F2-4C26-9D8A-72ACFD19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100E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caps/>
      <w:kern w:val="28"/>
      <w:sz w:val="32"/>
      <w:szCs w:val="20"/>
      <w:lang w:eastAsia="nb-NO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F100E"/>
    <w:pPr>
      <w:numPr>
        <w:numId w:val="0"/>
      </w:numPr>
      <w:spacing w:before="0"/>
      <w:outlineLvl w:val="1"/>
    </w:pPr>
    <w:rPr>
      <w:caps w:val="0"/>
      <w:sz w:val="28"/>
    </w:rPr>
  </w:style>
  <w:style w:type="paragraph" w:styleId="Heading3">
    <w:name w:val="heading 3"/>
    <w:basedOn w:val="Heading2"/>
    <w:next w:val="Normal"/>
    <w:link w:val="Heading3Char"/>
    <w:qFormat/>
    <w:rsid w:val="007F100E"/>
    <w:pPr>
      <w:numPr>
        <w:ilvl w:val="2"/>
        <w:numId w:val="1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7F100E"/>
    <w:pPr>
      <w:numPr>
        <w:ilvl w:val="3"/>
      </w:numPr>
      <w:ind w:hanging="709"/>
      <w:outlineLvl w:val="3"/>
    </w:pPr>
    <w:rPr>
      <w:rFonts w:ascii="Times New Roman" w:hAnsi="Times New Roman"/>
      <w:b w:val="0"/>
    </w:rPr>
  </w:style>
  <w:style w:type="paragraph" w:styleId="Heading5">
    <w:name w:val="heading 5"/>
    <w:basedOn w:val="Normal"/>
    <w:next w:val="Normal"/>
    <w:link w:val="Heading5Char"/>
    <w:qFormat/>
    <w:rsid w:val="007F100E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nb-NO"/>
    </w:rPr>
  </w:style>
  <w:style w:type="paragraph" w:styleId="Heading6">
    <w:name w:val="heading 6"/>
    <w:basedOn w:val="Normal"/>
    <w:next w:val="Normal"/>
    <w:link w:val="Heading6Char"/>
    <w:qFormat/>
    <w:rsid w:val="007F100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nb-NO"/>
    </w:rPr>
  </w:style>
  <w:style w:type="paragraph" w:styleId="Heading7">
    <w:name w:val="heading 7"/>
    <w:basedOn w:val="Normal"/>
    <w:next w:val="Normal"/>
    <w:link w:val="Heading7Char"/>
    <w:qFormat/>
    <w:rsid w:val="007F100E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nb-NO"/>
    </w:rPr>
  </w:style>
  <w:style w:type="paragraph" w:styleId="Heading8">
    <w:name w:val="heading 8"/>
    <w:basedOn w:val="Normal"/>
    <w:next w:val="Normal"/>
    <w:link w:val="Heading8Char"/>
    <w:qFormat/>
    <w:rsid w:val="007F100E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nb-NO"/>
    </w:rPr>
  </w:style>
  <w:style w:type="paragraph" w:styleId="Heading9">
    <w:name w:val="heading 9"/>
    <w:basedOn w:val="Normal"/>
    <w:next w:val="Normal"/>
    <w:link w:val="Heading9Char"/>
    <w:qFormat/>
    <w:rsid w:val="007F100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00E"/>
    <w:rPr>
      <w:rFonts w:ascii="Arial" w:eastAsia="Times New Roman" w:hAnsi="Arial" w:cs="Times New Roman"/>
      <w:b/>
      <w:caps/>
      <w:kern w:val="28"/>
      <w:sz w:val="32"/>
      <w:szCs w:val="20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7F100E"/>
    <w:rPr>
      <w:rFonts w:ascii="Arial" w:eastAsia="Times New Roman" w:hAnsi="Arial" w:cs="Times New Roman"/>
      <w:b/>
      <w:kern w:val="28"/>
      <w:sz w:val="28"/>
      <w:szCs w:val="20"/>
      <w:lang w:eastAsia="nb-NO"/>
    </w:rPr>
  </w:style>
  <w:style w:type="character" w:customStyle="1" w:styleId="Heading3Char">
    <w:name w:val="Heading 3 Char"/>
    <w:basedOn w:val="DefaultParagraphFont"/>
    <w:link w:val="Heading3"/>
    <w:rsid w:val="007F100E"/>
    <w:rPr>
      <w:rFonts w:ascii="Arial" w:eastAsia="Times New Roman" w:hAnsi="Arial" w:cs="Times New Roman"/>
      <w:b/>
      <w:kern w:val="28"/>
      <w:sz w:val="24"/>
      <w:szCs w:val="20"/>
      <w:lang w:eastAsia="nb-NO"/>
    </w:rPr>
  </w:style>
  <w:style w:type="character" w:customStyle="1" w:styleId="Heading4Char">
    <w:name w:val="Heading 4 Char"/>
    <w:basedOn w:val="DefaultParagraphFont"/>
    <w:link w:val="Heading4"/>
    <w:rsid w:val="007F100E"/>
    <w:rPr>
      <w:rFonts w:ascii="Times New Roman" w:eastAsia="Times New Roman" w:hAnsi="Times New Roman" w:cs="Times New Roman"/>
      <w:kern w:val="28"/>
      <w:sz w:val="24"/>
      <w:szCs w:val="20"/>
      <w:lang w:eastAsia="nb-NO"/>
    </w:rPr>
  </w:style>
  <w:style w:type="character" w:customStyle="1" w:styleId="Heading5Char">
    <w:name w:val="Heading 5 Char"/>
    <w:basedOn w:val="DefaultParagraphFont"/>
    <w:link w:val="Heading5"/>
    <w:rsid w:val="007F100E"/>
    <w:rPr>
      <w:rFonts w:ascii="Arial" w:eastAsia="Times New Roman" w:hAnsi="Arial" w:cs="Times New Roman"/>
      <w:szCs w:val="20"/>
      <w:lang w:eastAsia="nb-NO"/>
    </w:rPr>
  </w:style>
  <w:style w:type="character" w:customStyle="1" w:styleId="Heading6Char">
    <w:name w:val="Heading 6 Char"/>
    <w:basedOn w:val="DefaultParagraphFont"/>
    <w:link w:val="Heading6"/>
    <w:rsid w:val="007F100E"/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Heading7Char">
    <w:name w:val="Heading 7 Char"/>
    <w:basedOn w:val="DefaultParagraphFont"/>
    <w:link w:val="Heading7"/>
    <w:rsid w:val="007F100E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Heading8Char">
    <w:name w:val="Heading 8 Char"/>
    <w:basedOn w:val="DefaultParagraphFont"/>
    <w:link w:val="Heading8"/>
    <w:rsid w:val="007F100E"/>
    <w:rPr>
      <w:rFonts w:ascii="Arial" w:eastAsia="Times New Roman" w:hAnsi="Arial" w:cs="Times New Roman"/>
      <w:i/>
      <w:sz w:val="20"/>
      <w:szCs w:val="20"/>
      <w:lang w:eastAsia="nb-NO"/>
    </w:rPr>
  </w:style>
  <w:style w:type="character" w:customStyle="1" w:styleId="Heading9Char">
    <w:name w:val="Heading 9 Char"/>
    <w:basedOn w:val="DefaultParagraphFont"/>
    <w:link w:val="Heading9"/>
    <w:rsid w:val="007F100E"/>
    <w:rPr>
      <w:rFonts w:ascii="Arial" w:eastAsia="Times New Roman" w:hAnsi="Arial" w:cs="Times New Roman"/>
      <w:b/>
      <w:i/>
      <w:sz w:val="18"/>
      <w:szCs w:val="20"/>
      <w:lang w:eastAsia="nb-NO"/>
    </w:rPr>
  </w:style>
  <w:style w:type="paragraph" w:customStyle="1" w:styleId="Default">
    <w:name w:val="Default"/>
    <w:rsid w:val="007F1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A97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82"/>
  </w:style>
  <w:style w:type="paragraph" w:styleId="Footer">
    <w:name w:val="footer"/>
    <w:basedOn w:val="Normal"/>
    <w:link w:val="FooterChar"/>
    <w:uiPriority w:val="99"/>
    <w:unhideWhenUsed/>
    <w:rsid w:val="00A54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82"/>
  </w:style>
  <w:style w:type="paragraph" w:styleId="FootnoteText">
    <w:name w:val="footnote text"/>
    <w:basedOn w:val="Normal"/>
    <w:link w:val="FootnoteTextChar"/>
    <w:uiPriority w:val="99"/>
    <w:semiHidden/>
    <w:unhideWhenUsed/>
    <w:rsid w:val="00DB5D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5D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5D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02E00-3239-4884-AF6F-711C4DF9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Arild Sjo</dc:creator>
  <cp:lastModifiedBy>Eirik Rindal</cp:lastModifiedBy>
  <cp:revision>2</cp:revision>
  <dcterms:created xsi:type="dcterms:W3CDTF">2017-06-14T15:49:00Z</dcterms:created>
  <dcterms:modified xsi:type="dcterms:W3CDTF">2017-06-14T15:49:00Z</dcterms:modified>
</cp:coreProperties>
</file>